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16369</w:t>
      </w:r>
      <w:bookmarkStart w:id="4" w:name="_GoBack"/>
      <w:bookmarkEnd w:id="4"/>
    </w:p>
    <w:p>
      <w:pPr>
        <w:pStyle w:val="2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regenerative NTN enhancement and downlink coverage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6.26.4.2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6"/>
        <w:rPr>
          <w:lang w:val="en-US"/>
        </w:rPr>
      </w:pPr>
      <w:r>
        <w:rPr>
          <w:lang w:val="en-US"/>
        </w:rPr>
        <w:t>Discussion</w:t>
      </w:r>
    </w:p>
    <w:p>
      <w:pPr>
        <w:rPr>
          <w:sz w:val="22"/>
          <w:szCs w:val="22"/>
          <w:lang w:val="en-US" w:eastAsia="zh-CN"/>
        </w:rPr>
      </w:pPr>
      <w:r>
        <w:rPr>
          <w:rFonts w:hint="eastAsia" w:eastAsia="宋体" w:cs="Times New Roman"/>
          <w:sz w:val="22"/>
          <w:lang w:val="en-US" w:eastAsia="zh-CN"/>
        </w:rPr>
        <w:t xml:space="preserve">The objectives of Rel-19 NTN phase 3 enhancement are described in [1] including: </w:t>
      </w:r>
      <w:r>
        <w:rPr>
          <w:rFonts w:hint="eastAsia"/>
          <w:sz w:val="22"/>
          <w:szCs w:val="22"/>
          <w:lang w:val="en-US" w:eastAsia="zh-CN"/>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78"/>
              <w:bidi w:val="0"/>
              <w:ind w:left="792" w:leftChars="0" w:hanging="432" w:firstLineChars="0"/>
              <w:rPr>
                <w:rFonts w:hint="eastAsia" w:ascii="Times New Roman" w:hAnsi="Times New Roman" w:eastAsia="宋体" w:cs="Times New Roman"/>
                <w:sz w:val="22"/>
                <w:lang w:val="en-US" w:eastAsia="zh-CN" w:bidi="ar-SA"/>
              </w:rPr>
            </w:pPr>
            <w:r>
              <w:rPr>
                <w:rFonts w:hint="eastAsia" w:ascii="Times New Roman" w:hAnsi="Times New Roman" w:eastAsia="宋体" w:cs="Times New Roman"/>
                <w:sz w:val="22"/>
                <w:lang w:val="en-US" w:eastAsia="zh-CN" w:bidi="ar-SA"/>
              </w:rPr>
              <w:tab/>
            </w:r>
            <w:r>
              <w:rPr>
                <w:rFonts w:hint="eastAsia" w:ascii="Times New Roman" w:hAnsi="Times New Roman" w:eastAsia="宋体" w:cs="Times New Roman"/>
                <w:sz w:val="22"/>
                <w:lang w:val="en-US" w:eastAsia="zh-CN" w:bidi="ar-SA"/>
              </w:rPr>
              <w:t>Downlink coverage enhancement</w:t>
            </w:r>
          </w:p>
          <w:p>
            <w:pPr>
              <w:pStyle w:val="78"/>
              <w:numPr>
                <w:ilvl w:val="1"/>
                <w:numId w:val="0"/>
              </w:numPr>
              <w:bidi w:val="0"/>
              <w:ind w:left="360" w:leftChars="0"/>
              <w:rPr>
                <w:rFonts w:hint="default"/>
                <w:sz w:val="22"/>
                <w:szCs w:val="22"/>
                <w:lang w:val="en-US" w:eastAsia="zh-CN"/>
              </w:rPr>
            </w:pPr>
            <w:r>
              <w:rPr>
                <w:rFonts w:hint="default" w:ascii="Times New Roman" w:hAnsi="Times New Roman" w:cs="Times New Roman"/>
                <w:sz w:val="22"/>
                <w:szCs w:val="22"/>
                <w:lang w:val="en-US" w:eastAsia="zh-CN"/>
              </w:rPr>
              <w:t>2.2</w:t>
            </w:r>
            <w:r>
              <w:rPr>
                <w:rFonts w:hint="eastAsia" w:ascii="Times New Roman" w:hAnsi="Times New Roman" w:cs="Times New Roman"/>
                <w:sz w:val="22"/>
                <w:szCs w:val="22"/>
                <w:lang w:val="en-US" w:eastAsia="zh-CN"/>
              </w:rPr>
              <w:t xml:space="preserve">    </w:t>
            </w:r>
            <w:r>
              <w:rPr>
                <w:rFonts w:hint="eastAsia" w:ascii="Times New Roman" w:hAnsi="Times New Roman" w:eastAsia="宋体" w:cs="Times New Roman"/>
                <w:sz w:val="22"/>
                <w:lang w:val="en-US" w:eastAsia="zh-CN" w:bidi="ar-SA"/>
              </w:rPr>
              <w:t>Support of Regenerative payload</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this meeting, we will discuss the scenarios and express our views on potential impact to RRM requirements towards the above objectives. The objectives are divided into several aspects:</w:t>
      </w:r>
    </w:p>
    <w:p>
      <w:pPr>
        <w:pStyle w:val="78"/>
        <w:numPr>
          <w:ilvl w:val="1"/>
          <w:numId w:val="0"/>
        </w:numPr>
        <w:rPr>
          <w:rFonts w:hint="default"/>
          <w:lang w:val="en-US" w:eastAsia="zh-CN"/>
        </w:rPr>
      </w:pPr>
      <w:r>
        <w:rPr>
          <w:rFonts w:hint="eastAsia"/>
          <w:lang w:eastAsia="zh-CN"/>
        </w:rPr>
        <w:t>2.</w:t>
      </w:r>
      <w:r>
        <w:rPr>
          <w:rFonts w:hint="eastAsia"/>
          <w:lang w:val="en-US" w:eastAsia="zh-CN"/>
        </w:rPr>
        <w:t>1 Downlink coverage enhancement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RAN4 shall define the RRM requirements for downlink coverage enhancement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numPr>
                <w:ilvl w:val="0"/>
                <w:numId w:val="3"/>
              </w:numPr>
              <w:spacing w:before="0" w:beforeAutospacing="0" w:after="0" w:line="276" w:lineRule="auto"/>
              <w:rPr>
                <w:rFonts w:eastAsia="Calibri"/>
                <w:sz w:val="20"/>
                <w:szCs w:val="20"/>
                <w:lang w:eastAsia="ko-KR"/>
              </w:rPr>
            </w:pPr>
            <w:r>
              <w:rPr>
                <w:rFonts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2"/>
              <w:numPr>
                <w:ilvl w:val="0"/>
                <w:numId w:val="4"/>
              </w:numPr>
              <w:overflowPunct/>
              <w:autoSpaceDE/>
              <w:autoSpaceDN/>
              <w:adjustRightInd/>
              <w:spacing w:before="0" w:beforeAutospacing="0" w:after="0" w:line="276" w:lineRule="auto"/>
              <w:ind w:firstLineChars="0"/>
              <w:contextualSpacing/>
              <w:jc w:val="both"/>
              <w:textAlignment w:val="auto"/>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2"/>
              <w:numPr>
                <w:ilvl w:val="0"/>
                <w:numId w:val="4"/>
              </w:numPr>
              <w:overflowPunct/>
              <w:autoSpaceDE/>
              <w:autoSpaceDN/>
              <w:adjustRightInd/>
              <w:spacing w:before="0" w:beforeAutospacing="0" w:after="0" w:line="276" w:lineRule="auto"/>
              <w:ind w:firstLineChars="0"/>
              <w:contextualSpacing/>
              <w:jc w:val="both"/>
              <w:textAlignment w:val="auto"/>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2"/>
              <w:numPr>
                <w:ilvl w:val="0"/>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 xml:space="preserve">Study and if needed specify solutions, including link level enhancements for FR1-NTN (e.g. for PDCCH, PDSCH) and/or system level enhancements for FR1-NTN and/or FR2-NTN, </w:t>
            </w:r>
            <w:r>
              <w:rPr>
                <w:b/>
                <w:bCs/>
                <w:sz w:val="20"/>
                <w:szCs w:val="20"/>
                <w:highlight w:val="yellow"/>
              </w:rPr>
              <w:t>allowing dynamic and flexible power sharing between satellite beams or different satellite beam patterns/size (i.e. wide or narrow) across the satellite footprint.</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RAN1 to report at the latest by RAN#106 with the list of targeted physical channels/signals for link level enhancements (if any), and with the targeted system-level enhancements (if any)</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RAN1 should report on impact to backward compatibility, if any, for potential extension of the SSB periodicity at the latest by RAN#106, in conjunction with the targeted system-level enhancements.</w:t>
            </w:r>
          </w:p>
          <w:p>
            <w:pPr>
              <w:pStyle w:val="72"/>
              <w:numPr>
                <w:ilvl w:val="0"/>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Notes for this objective:</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b/>
                <w:bCs/>
                <w:sz w:val="20"/>
                <w:szCs w:val="20"/>
                <w:highlight w:val="yellow"/>
              </w:rPr>
            </w:pPr>
            <w:r>
              <w:rPr>
                <w:b/>
                <w:bCs/>
                <w:sz w:val="20"/>
                <w:szCs w:val="20"/>
                <w:highlight w:val="yellow"/>
              </w:rPr>
              <w:t>SSB channel enhancement other than SSB periodicity extension is not considered</w:t>
            </w:r>
          </w:p>
          <w:p>
            <w:pPr>
              <w:pStyle w:val="72"/>
              <w:numPr>
                <w:ilvl w:val="2"/>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RAN1 should consider issues such as UE’s cell search complexity and impact to initial cell selection, latency and success rate, for the above extension</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20"/>
                <w:szCs w:val="20"/>
                <w:highlight w:val="yellow"/>
              </w:rPr>
            </w:pPr>
            <w:r>
              <w:rPr>
                <w:sz w:val="20"/>
                <w:szCs w:val="20"/>
                <w:highlight w:val="yellow"/>
              </w:rPr>
              <w:t xml:space="preserve">The SSB periodicity enhancements potentially defined in this WID </w:t>
            </w:r>
            <w:r>
              <w:rPr>
                <w:b/>
                <w:bCs/>
                <w:sz w:val="20"/>
                <w:szCs w:val="20"/>
                <w:highlight w:val="yellow"/>
              </w:rPr>
              <w:t>only apply to NTN operation</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20"/>
                <w:szCs w:val="20"/>
              </w:rPr>
            </w:pPr>
            <w:r>
              <w:rPr>
                <w:sz w:val="20"/>
                <w:szCs w:val="20"/>
              </w:rPr>
              <w:t>Antenna gain of UE shall be assumed to be -5.5dBi in case of smartphone in FR1-NTN, the UE is assumed to be a full duplex UE, and at least 2Rx are considered at the UE</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20"/>
                <w:szCs w:val="20"/>
              </w:rPr>
            </w:pPr>
            <w:r>
              <w:rPr>
                <w:sz w:val="20"/>
                <w:szCs w:val="20"/>
              </w:rPr>
              <w:t>NGSO to be considered in priority: LEO Set-1 @ 600 km</w:t>
            </w:r>
          </w:p>
          <w:p>
            <w:pPr>
              <w:pStyle w:val="72"/>
              <w:numPr>
                <w:ilvl w:val="1"/>
                <w:numId w:val="4"/>
              </w:numPr>
              <w:overflowPunct/>
              <w:autoSpaceDE/>
              <w:autoSpaceDN/>
              <w:adjustRightInd/>
              <w:spacing w:before="0" w:beforeAutospacing="0" w:after="0" w:line="276" w:lineRule="auto"/>
              <w:ind w:firstLineChars="0"/>
              <w:contextualSpacing/>
              <w:jc w:val="both"/>
              <w:textAlignment w:val="auto"/>
              <w:rPr>
                <w:sz w:val="16"/>
                <w:szCs w:val="16"/>
              </w:rPr>
            </w:pPr>
            <w:r>
              <w:rPr>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For this objective, RAN1/RAN2 have discussed several meetings and the goal is to increase the downlink coverage to serve the multiple satellite footprint. RAN1 introduced the beam hopping since the limitation of power budget, the number of RF chains available at the satellite payload  and the number of active beams can not be increased. Thus, we deem that if the downlink coverage is needed to enhance, the beam hopping shall be considered. Based on the latest WID, the SSB periodicity shall be extended and this extension will cause the RAN4 impact. In this section we will analyze the basic scenario of beam hopping and then the potential RAN4 impact with the RAN1/RAN2</w:t>
      </w:r>
      <w:r>
        <w:rPr>
          <w:rFonts w:hint="default" w:eastAsia="宋体" w:cs="Times New Roman"/>
          <w:sz w:val="20"/>
          <w:szCs w:val="20"/>
          <w:lang w:val="en-US" w:eastAsia="zh-CN"/>
        </w:rPr>
        <w:t>’</w:t>
      </w:r>
      <w:r>
        <w:rPr>
          <w:rFonts w:hint="eastAsia" w:eastAsia="宋体" w:cs="Times New Roman"/>
          <w:sz w:val="20"/>
          <w:szCs w:val="20"/>
          <w:lang w:val="en-US" w:eastAsia="zh-CN"/>
        </w:rPr>
        <w:t xml:space="preserve">s conclusion.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default" w:eastAsia="宋体" w:cs="Times New Roman"/>
          <w:sz w:val="20"/>
          <w:szCs w:val="20"/>
          <w:lang w:val="en-US" w:eastAsia="zh-CN"/>
        </w:rPr>
        <w:t>Beam hopping employs TDM approach to serve multiple beam footprints with a single beam, thereby enhancing the coverage area. This technique enables rapid switching of the satellite beam among different geographical regions, effectively boosting the coverage expanse and spectrum utilization efficiency without necessitating additional hardware infrastructure.</w:t>
      </w:r>
      <w:r>
        <w:rPr>
          <w:rFonts w:hint="eastAsia" w:eastAsia="宋体" w:cs="Times New Roman"/>
          <w:sz w:val="20"/>
          <w:szCs w:val="20"/>
          <w:lang w:val="en-US" w:eastAsia="zh-CN"/>
        </w:rPr>
        <w:t xml:space="preserve"> The beam hopping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73475" cy="1939290"/>
            <wp:effectExtent l="0" t="0" r="14605"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673475" cy="193929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Figure 1 Beam hopping</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Based on the above figure, we see that the satellite uses one beam to serve 3 beam footprints, and this single beam using the beam hopping employs the TDM method to cover these beam footprint in order to enhance downlink coverage.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In the latest WID, the SSB periodicity shall be extended. The reason for this enhancement is that a satellite only provides 16 beams simultaneously due to the limitation of power budget or number of RF chains. What we want to realize is that using these 16 beams to serve multiple beam footprints such as 1058 beam footprints. However, when one single beam serve one beam footprint, the integral information of SSB, SIB1, SIB19 etc shall be sent, and a dwell time is needed. Assuming the minimum dwell time is 5ms, the existing default SSB periodicity is 20ms, that is, that one beam only serves 20ms/dwell time 5 ms=4 beam footprints. For all 16 beams, the total serve coverage is 16*4=64 beam footprints which is far less than 1058 beam footprints. Thus, the SSB periodicity shall be extended in order to enhance the downlink coverage, but the concrete values for SSB periodicity depends on RAN1 and they are under discussion.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From my perspective, there are two kinds of SSB periodicity extension shall be clarified: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(Default) SSB periodicity extension for cell search (initial UE access).  This will affect its initial access and connection establishment. </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If the SSB periodicity extension is larger than 20ms, when attempting to access the network, the UE may require additional time to accurately acquire essential System Information Blocks, paging messages, and signals on other physical channels. This could result in reduced efficiency of the connection establishment process and increased access latency.</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 If the SSB periodicity does not align with the transmission cycles of other signals, it may result in a misalignment of the reception window, thereby affecting the reception efficiency of the UE.</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(Configured) SSB periodicity extension for measurement configurations etc. Compared to cell search, the UE will be configured by network and the SMTC periodicity will also be impacted.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 The network configures the SSB periodicity as 5ms, 10ms, 20ms, 40ms, 80ms, or 160ms. If the field is absent, UE assumes the periodicity of 5ms.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GB" w:eastAsia="ja-JP"/>
        </w:rPr>
      </w:pPr>
      <w:r>
        <w:rPr>
          <w:rFonts w:hint="eastAsia" w:eastAsia="宋体" w:cs="Times New Roman"/>
          <w:sz w:val="20"/>
          <w:szCs w:val="20"/>
          <w:lang w:val="en-US" w:eastAsia="zh-CN"/>
        </w:rPr>
        <w:t>The SMTC</w:t>
      </w:r>
      <w:r>
        <w:rPr>
          <w:rFonts w:hint="eastAsia" w:eastAsia="宋体" w:cs="Times New Roman"/>
          <w:sz w:val="20"/>
          <w:szCs w:val="20"/>
          <w:lang w:val="en-GB" w:eastAsia="ja-JP"/>
        </w:rPr>
        <w:t xml:space="preserve"> periodicity can be either 5ms, 10ms, 20ms, 40ms, 8ms, or 160ms.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To my understanding, almost RRM requirements will be impacted if the SSB periodicity is extended. Since the cell re-selection and L1/L3 measurements will be based on SSB signal. However, RAN1 and RAN2 are still discussing downlink coverage enhancement and the concrete values have not been decided yet, we RAN4 can list the potential impacted RRM requirements and wait for other WGs agreements.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1: The SSB periodicity shall be extended in order to enhance the downlink coverage and RAN1/RAN2 are under 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2: Almost RRM requirements will be impacted if the SSB periodicity is extended since the cell re-selection and L1/L3 measurements are based on SSB signal.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1: The most of RRM requirements shall be updated if RAN1/RAN2 have the concrete conclusions on SSB periodicity extension.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RAN1 previous meeting, one agreement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80"/>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For system level study based on analytical evaluation:</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N1 beam footprints are in state “off”</w:t>
            </w:r>
          </w:p>
          <w:p>
            <w:pPr>
              <w:widowControl/>
              <w:numPr>
                <w:ilvl w:val="1"/>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These beam footprints are not served by any signal (no satellite service in this area)</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N2 beam footprints are in state “common messages only”</w:t>
            </w:r>
          </w:p>
          <w:p>
            <w:pPr>
              <w:widowControl/>
              <w:numPr>
                <w:ilvl w:val="1"/>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These beam footprints do not have any active user traffic, and are served the necessary information for cell discovery and initial access.</w:t>
            </w:r>
          </w:p>
          <w:p>
            <w:pPr>
              <w:widowControl/>
              <w:numPr>
                <w:ilvl w:val="1"/>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Optionally, companies may consider user arrival (e.g. RACH access) in this type of cell, and should describe how this is taken into account in the analytical evaluation</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N3 beam footprints are in state “active traffic” </w:t>
            </w:r>
          </w:p>
          <w:p>
            <w:pPr>
              <w:widowControl/>
              <w:numPr>
                <w:ilvl w:val="1"/>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These beam footprints have X active (e.g. VoNR) users each.</w:t>
            </w:r>
          </w:p>
          <w:p>
            <w:pPr>
              <w:widowControl/>
              <w:numPr>
                <w:ilvl w:val="1"/>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These beam footprints are also served the necessary information for cell discovery and initial access</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N1 + N2 + N3 = “Total number of beam footprints “ </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N1, N2, N3, X are to be reported by companies.</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Resource utilization obtained under the assumptions above is to be reported by companies.</w:t>
            </w:r>
          </w:p>
          <w:p>
            <w:pPr>
              <w:widowControl/>
              <w:numPr>
                <w:ilvl w:val="0"/>
                <w:numId w:val="7"/>
              </w:numPr>
              <w:spacing w:after="180"/>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Other assumptions made in the evaluation are to be reported by companies, e.g. power sharing scheme, beam hopping scheme, etc.</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We find that RAN1 has already defined the concrete meaning for total number of beam footprints and the following figure can explain this:</w:t>
      </w:r>
    </w:p>
    <w:p>
      <w:pPr>
        <w:overflowPunct w:val="0"/>
        <w:autoSpaceDE w:val="0"/>
        <w:autoSpaceDN w:val="0"/>
        <w:adjustRightInd w:val="0"/>
        <w:spacing w:before="120" w:after="120" w:line="360" w:lineRule="auto"/>
        <w:jc w:val="center"/>
        <w:textAlignment w:val="baseline"/>
      </w:pPr>
      <w:r>
        <w:drawing>
          <wp:inline distT="0" distB="0" distL="114300" distR="114300">
            <wp:extent cx="3449320" cy="1824355"/>
            <wp:effectExtent l="0" t="0" r="1016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449320" cy="1824355"/>
                    </a:xfrm>
                    <a:prstGeom prst="rect">
                      <a:avLst/>
                    </a:prstGeom>
                    <a:noFill/>
                    <a:ln>
                      <a:noFill/>
                    </a:ln>
                  </pic:spPr>
                </pic:pic>
              </a:graphicData>
            </a:graphic>
          </wp:inline>
        </w:drawing>
      </w:r>
    </w:p>
    <w:p>
      <w:pPr>
        <w:overflowPunct w:val="0"/>
        <w:autoSpaceDE w:val="0"/>
        <w:autoSpaceDN w:val="0"/>
        <w:adjustRightInd w:val="0"/>
        <w:spacing w:before="120" w:after="120" w:line="360" w:lineRule="auto"/>
        <w:jc w:val="center"/>
        <w:textAlignment w:val="baseline"/>
        <w:rPr>
          <w:rFonts w:hint="eastAsia" w:eastAsia="宋体"/>
          <w:lang w:val="en-US" w:eastAsia="zh-CN"/>
        </w:rPr>
      </w:pPr>
      <w:r>
        <w:rPr>
          <w:rFonts w:hint="eastAsia" w:eastAsia="宋体"/>
          <w:lang w:val="en-US" w:eastAsia="zh-CN"/>
        </w:rPr>
        <w:t>Figure 2 Total beam footprints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We find that N1 beam footprints are in state </w:t>
      </w:r>
      <w:r>
        <w:rPr>
          <w:rFonts w:hint="default" w:eastAsia="宋体" w:cs="Times New Roman"/>
          <w:sz w:val="20"/>
          <w:szCs w:val="20"/>
          <w:lang w:val="en-US" w:eastAsia="zh-CN"/>
        </w:rPr>
        <w:t>“</w:t>
      </w:r>
      <w:r>
        <w:rPr>
          <w:rFonts w:hint="eastAsia" w:eastAsia="宋体" w:cs="Times New Roman"/>
          <w:sz w:val="20"/>
          <w:szCs w:val="20"/>
          <w:lang w:val="en-US" w:eastAsia="zh-CN"/>
        </w:rPr>
        <w:t>off</w:t>
      </w:r>
      <w:r>
        <w:rPr>
          <w:rFonts w:hint="default" w:eastAsia="宋体" w:cs="Times New Roman"/>
          <w:sz w:val="20"/>
          <w:szCs w:val="20"/>
          <w:lang w:val="en-US" w:eastAsia="zh-CN"/>
        </w:rPr>
        <w:t>”</w:t>
      </w:r>
      <w:r>
        <w:rPr>
          <w:rFonts w:hint="eastAsia" w:eastAsia="宋体" w:cs="Times New Roman"/>
          <w:sz w:val="20"/>
          <w:szCs w:val="20"/>
          <w:lang w:val="en-US" w:eastAsia="zh-CN"/>
        </w:rPr>
        <w:t xml:space="preserve"> which means NTN service is not-available and UE will not receive any downlink signals including SSB and  CSI-RS which are closely relevant to RAN4 measurements such as L3/L1 measurement in RRC Connected state and cell re-selection measurement in RRC Idle/Inactive state. UEs in N1 coverage will not perform any RRM measurements.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 xml:space="preserve">Observation 3: N1 beam footprints are in state </w:t>
      </w:r>
      <w:r>
        <w:rPr>
          <w:rFonts w:hint="default" w:eastAsia="宋体" w:cs="Times New Roman"/>
          <w:b/>
          <w:bCs/>
          <w:sz w:val="22"/>
          <w:lang w:val="en-US" w:eastAsia="zh-CN"/>
        </w:rPr>
        <w:t>“</w:t>
      </w:r>
      <w:r>
        <w:rPr>
          <w:rFonts w:hint="eastAsia" w:eastAsia="宋体" w:cs="Times New Roman"/>
          <w:b/>
          <w:bCs/>
          <w:sz w:val="22"/>
          <w:lang w:val="en-US" w:eastAsia="zh-CN"/>
        </w:rPr>
        <w:t>off</w:t>
      </w:r>
      <w:r>
        <w:rPr>
          <w:rFonts w:hint="default" w:eastAsia="宋体" w:cs="Times New Roman"/>
          <w:b/>
          <w:bCs/>
          <w:sz w:val="22"/>
          <w:lang w:val="en-US" w:eastAsia="zh-CN"/>
        </w:rPr>
        <w:t>”</w:t>
      </w:r>
      <w:r>
        <w:rPr>
          <w:rFonts w:hint="eastAsia" w:eastAsia="宋体" w:cs="Times New Roman"/>
          <w:b/>
          <w:bCs/>
          <w:sz w:val="22"/>
          <w:lang w:val="en-US" w:eastAsia="zh-CN"/>
        </w:rPr>
        <w:t xml:space="preserve"> which means NTN service is not-available and UE will not receive any downlink signals including SSB and  CSI-RS.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Proposal 2: UEs in N1 coverage will not perform any RRM measurements such as L3/L1 measurement in RRC Connected state and cell re-selection measurement in RRC Idle/Inactive state.</w:t>
      </w:r>
    </w:p>
    <w:p>
      <w:pPr>
        <w:pStyle w:val="78"/>
        <w:numPr>
          <w:ilvl w:val="1"/>
          <w:numId w:val="0"/>
        </w:numPr>
        <w:rPr>
          <w:rFonts w:hint="default"/>
          <w:lang w:val="en-US" w:eastAsia="zh-CN"/>
        </w:rPr>
      </w:pPr>
      <w:r>
        <w:rPr>
          <w:rFonts w:hint="eastAsia"/>
          <w:lang w:eastAsia="zh-CN"/>
        </w:rPr>
        <w:t>2.</w:t>
      </w:r>
      <w:r>
        <w:rPr>
          <w:rFonts w:hint="eastAsia"/>
          <w:lang w:val="en-US" w:eastAsia="zh-CN"/>
        </w:rPr>
        <w:t>2 Support of Regenerative payload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sz w:val="20"/>
          <w:szCs w:val="20"/>
          <w:lang w:val="en-US" w:eastAsia="zh-CN"/>
        </w:rPr>
      </w:pPr>
      <w:r>
        <w:rPr>
          <w:rFonts w:hint="eastAsia" w:eastAsia="宋体" w:cs="Times New Roman"/>
          <w:sz w:val="22"/>
          <w:lang w:val="en-US" w:eastAsia="zh-CN"/>
        </w:rPr>
        <w:t>For NR NTN phase 3, the next objective is regenerative payload which is led by RAN3 and we found that there also has not been much progress in RAN2. We can analyze the potential RRM impact although there has been no discussion triggering RAN4 RRM at present</w:t>
      </w:r>
      <w:r>
        <w:rPr>
          <w:rFonts w:hint="eastAsia" w:eastAsia="宋体" w:cs="Times New Roman"/>
          <w:sz w:val="20"/>
          <w:szCs w:val="20"/>
          <w:lang w:val="en-US" w:eastAsia="zh-CN"/>
        </w:rPr>
        <w:t xml:space="preserve">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widowControl/>
              <w:numPr>
                <w:ilvl w:val="-1"/>
                <w:numId w:val="0"/>
              </w:numPr>
              <w:overflowPunct w:val="0"/>
              <w:autoSpaceDE w:val="0"/>
              <w:autoSpaceDN w:val="0"/>
              <w:adjustRightInd w:val="0"/>
              <w:spacing w:line="276" w:lineRule="auto"/>
              <w:ind w:left="360" w:firstLine="0"/>
              <w:contextualSpacing/>
              <w:jc w:val="left"/>
              <w:textAlignment w:val="baseline"/>
              <w:rPr>
                <w:rFonts w:hint="default" w:ascii="Times New Roman" w:hAnsi="Times New Roman" w:eastAsia="Calibri" w:cs="Times New Roman"/>
                <w:lang w:eastAsia="ko-KR"/>
              </w:rPr>
            </w:pPr>
            <w:bookmarkStart w:id="2" w:name="_Hlk153358806"/>
            <w:r>
              <w:rPr>
                <w:rFonts w:hint="default" w:ascii="Times New Roman" w:hAnsi="Times New Roman" w:eastAsia="Malgun Gothic" w:cs="Times New Roman"/>
                <w:lang w:eastAsia="ko-KR"/>
              </w:rPr>
              <w:t xml:space="preserve">Support of regenerative payload [RAN3, RAN2, </w:t>
            </w:r>
            <w:r>
              <w:rPr>
                <w:rFonts w:hint="default" w:ascii="Times New Roman" w:hAnsi="Times New Roman" w:eastAsia="Malgun Gothic" w:cs="Times New Roman"/>
                <w:highlight w:val="yellow"/>
                <w:lang w:eastAsia="ko-KR"/>
              </w:rPr>
              <w:t>RAN4</w:t>
            </w:r>
            <w:r>
              <w:rPr>
                <w:rFonts w:hint="default" w:ascii="Times New Roman" w:hAnsi="Times New Roman" w:eastAsia="Malgun Gothic" w:cs="Times New Roman"/>
                <w:lang w:eastAsia="ko-KR"/>
              </w:rPr>
              <w:t>]</w:t>
            </w:r>
          </w:p>
          <w:p>
            <w:pPr>
              <w:pStyle w:val="72"/>
              <w:numPr>
                <w:ilvl w:val="0"/>
                <w:numId w:val="4"/>
              </w:numPr>
              <w:spacing w:line="276" w:lineRule="auto"/>
              <w:ind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Specify the support of gNB on board in TS 38.300</w:t>
            </w:r>
          </w:p>
          <w:p>
            <w:pPr>
              <w:pStyle w:val="72"/>
              <w:numPr>
                <w:ilvl w:val="0"/>
                <w:numId w:val="4"/>
              </w:numPr>
              <w:spacing w:line="276" w:lineRule="auto"/>
              <w:ind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Specify, if needed, any necessary enhancements related to the intra and inter-gNB mobility, especially for Xn interface over feeder link or over ISL. [RAN3]</w:t>
            </w:r>
          </w:p>
          <w:p>
            <w:pPr>
              <w:pStyle w:val="72"/>
              <w:keepNext w:val="0"/>
              <w:keepLines w:val="0"/>
              <w:pageBreakBefore w:val="0"/>
              <w:widowControl/>
              <w:numPr>
                <w:ilvl w:val="0"/>
                <w:numId w:val="4"/>
              </w:numPr>
              <w:kinsoku/>
              <w:wordWrap/>
              <w:overflowPunct/>
              <w:topLinePunct w:val="0"/>
              <w:autoSpaceDE/>
              <w:autoSpaceDN/>
              <w:bidi w:val="0"/>
              <w:adjustRightInd/>
              <w:snapToGrid/>
              <w:spacing w:beforeLines="50" w:after="0" w:afterLines="50" w:line="276" w:lineRule="auto"/>
              <w:contextualSpacing/>
              <w:jc w:val="both"/>
              <w:textAlignment w:val="auto"/>
              <w:rPr>
                <w:rFonts w:hint="eastAsia" w:eastAsia="宋体" w:cs="Times New Roman"/>
                <w:sz w:val="20"/>
                <w:szCs w:val="20"/>
                <w:vertAlign w:val="baseline"/>
                <w:lang w:val="en-US" w:eastAsia="zh-CN"/>
              </w:rPr>
            </w:pPr>
            <w:r>
              <w:rPr>
                <w:rFonts w:hint="default" w:ascii="Times New Roman" w:hAnsi="Times New Roman" w:cs="Times New Roman"/>
                <w:sz w:val="20"/>
                <w:szCs w:val="20"/>
              </w:rPr>
              <w:t>Note: if any additional necessary stage-3 specifications impact for e.g. NGAP is identified, RAN3 will handle it.</w:t>
            </w:r>
            <w:bookmarkEnd w:id="2"/>
          </w:p>
        </w:tc>
      </w:tr>
    </w:tbl>
    <w:p>
      <w:pPr>
        <w:overflowPunct w:val="0"/>
        <w:autoSpaceDE w:val="0"/>
        <w:autoSpaceDN w:val="0"/>
        <w:adjustRightInd w:val="0"/>
        <w:spacing w:before="120" w:after="12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The following point can be discussed:</w:t>
      </w:r>
    </w:p>
    <w:p>
      <w:pPr>
        <w:numPr>
          <w:ilvl w:val="0"/>
          <w:numId w:val="8"/>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Multiple SMTCs</w:t>
      </w:r>
    </w:p>
    <w:p>
      <w:pPr>
        <w:numPr>
          <w:ilvl w:val="0"/>
          <w:numId w:val="8"/>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Timing Advance</w:t>
      </w:r>
    </w:p>
    <w:p>
      <w:pPr>
        <w:numPr>
          <w:ilvl w:val="0"/>
          <w:numId w:val="8"/>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RACH-less handover</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2.2.1 Multiple SMTCs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sz w:val="22"/>
          <w:lang w:val="en-US" w:eastAsia="zh-CN"/>
        </w:rPr>
      </w:pPr>
      <w:r>
        <w:rPr>
          <w:rFonts w:hint="eastAsia" w:eastAsia="宋体" w:cs="Times New Roman"/>
          <w:sz w:val="22"/>
          <w:lang w:val="en-US" w:eastAsia="zh-CN"/>
        </w:rPr>
        <w:t xml:space="preserve">In legacy, the multiple SMTCs shall be reused since this feature is not decided by types of UE. However, we also deem that the multiple SMTCs can be reused in this objective. </w:t>
      </w:r>
      <w:r>
        <w:rPr>
          <w:rFonts w:hint="eastAsia" w:eastAsia="宋体"/>
          <w:sz w:val="22"/>
          <w:lang w:val="en-US" w:eastAsia="zh-CN"/>
        </w:rPr>
        <w:t>If the elevation angles between different satellites are too large, the time difference of the SSBs arriving at the UE from different satellites is considered significant enough that they would require different SMTCs for reception. Multiple SMTCs would then measure different target satellites. Therefore, in discussing measurement-related issues, we believe that the regenerative payload can continue to use the legacy SMTC.</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 xml:space="preserve">Proposal 3: RAN4 shall reuse the legacy multiple SMTCs mechanism for regenerative payload. </w:t>
      </w:r>
    </w:p>
    <w:p>
      <w:pPr>
        <w:pStyle w:val="4"/>
        <w:overflowPunct w:val="0"/>
        <w:autoSpaceDE w:val="0"/>
        <w:autoSpaceDN w:val="0"/>
        <w:adjustRightInd w:val="0"/>
        <w:spacing w:before="120" w:after="120" w:line="360" w:lineRule="auto"/>
        <w:jc w:val="both"/>
        <w:textAlignment w:val="baseline"/>
        <w:rPr>
          <w:rFonts w:hint="default" w:eastAsia="宋体"/>
          <w:b w:val="0"/>
          <w:bCs w:val="0"/>
          <w:sz w:val="22"/>
          <w:szCs w:val="20"/>
          <w:lang w:val="en-US" w:eastAsia="zh-CN"/>
        </w:rPr>
      </w:pPr>
      <w:r>
        <w:rPr>
          <w:rFonts w:hint="eastAsia"/>
          <w:sz w:val="24"/>
          <w:szCs w:val="18"/>
          <w:lang w:val="en-US" w:eastAsia="zh-CN"/>
        </w:rPr>
        <w:t xml:space="preserve">2.2.2 Timing  </w:t>
      </w:r>
    </w:p>
    <w:p>
      <w:pPr>
        <w:overflowPunct w:val="0"/>
        <w:autoSpaceDE w:val="0"/>
        <w:autoSpaceDN w:val="0"/>
        <w:adjustRightInd w:val="0"/>
        <w:spacing w:before="120" w:after="120" w:line="360" w:lineRule="auto"/>
        <w:jc w:val="both"/>
        <w:textAlignment w:val="baseline"/>
        <w:rPr>
          <w:rFonts w:hint="eastAsia" w:eastAsia="宋体"/>
          <w:b w:val="0"/>
          <w:bCs w:val="0"/>
          <w:sz w:val="22"/>
          <w:szCs w:val="20"/>
          <w:lang w:val="en-US" w:eastAsia="zh-CN"/>
        </w:rPr>
      </w:pPr>
      <w:r>
        <w:rPr>
          <w:rFonts w:hint="eastAsia" w:eastAsia="宋体"/>
          <w:b w:val="0"/>
          <w:bCs w:val="0"/>
          <w:sz w:val="22"/>
          <w:szCs w:val="20"/>
          <w:lang w:val="en-US" w:eastAsia="zh-CN"/>
        </w:rPr>
        <w:t>For regenerative payload, we deem that the discussion of timing advance is one key point. In R17, RAN4 just discussed the UE TA pre-compensation and the reference ponit has been introduced by RAN1. When the reference point is on feeder link, UE will compensate the timing of service link and part of feeder link which is decided by position of reference point.  Compared to transparent payload, the regenerative payload will not consider the feeder link since the gNB is also deployed in payload and only service link has the data transmission between UEs and regenerative payload. In the existing specification we find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eastAsia="宋体" w:cs="Times New Roman"/>
              </w:rPr>
              <w:t xml:space="preserve">The UE shall have capability to follow the frame timing change of the reference cell in connected state. The uplink frame transmission takes place </w:t>
            </w:r>
            <m:oMath>
              <m:d>
                <m:dPr>
                  <m:ctrlPr>
                    <w:rPr>
                      <w:rFonts w:ascii="Cambria Math" w:hAnsi="Cambria Math" w:eastAsia="Times New Roman" w:cs="Times New Roman"/>
                      <w:i/>
                      <w:highlight w:val="yellow"/>
                      <w:lang w:val="en-GB" w:eastAsia="en-GB"/>
                    </w:rPr>
                  </m:ctrlPr>
                </m:dPr>
                <m:e>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m:t>
                      </m:r>
                      <m:ctrlPr>
                        <w:rPr>
                          <w:rFonts w:ascii="Cambria Math" w:hAnsi="Cambria Math" w:eastAsia="Times New Roman" w:cs="Times New Roman"/>
                          <w:i/>
                          <w:highlight w:val="yellow"/>
                          <w:lang w:val="en-GB" w:eastAsia="en-GB"/>
                        </w:rPr>
                      </m:ctrlPr>
                    </m:sub>
                  </m:sSub>
                  <m:r>
                    <m:rPr/>
                    <w:rPr>
                      <w:rFonts w:ascii="Cambria Math" w:hAnsi="Cambria Math" w:cs="Times New Roman"/>
                      <w:highlight w:val="yellow"/>
                    </w:rPr>
                    <m:t>+</m:t>
                  </m:r>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TA-offset</m:t>
                      </m:r>
                      <m:ctrlPr>
                        <w:rPr>
                          <w:rFonts w:ascii="Cambria Math" w:hAnsi="Cambria Math" w:eastAsia="Times New Roman" w:cs="Times New Roman"/>
                          <w:i/>
                          <w:highlight w:val="yellow"/>
                          <w:lang w:val="en-GB" w:eastAsia="en-GB"/>
                        </w:rPr>
                      </m:ctrlPr>
                    </m:sub>
                  </m:sSub>
                  <m:r>
                    <m:rPr/>
                    <w:rPr>
                      <w:rFonts w:ascii="Cambria Math" w:hAnsi="Cambria Math" w:cs="Times New Roman"/>
                      <w:highlight w:val="yellow"/>
                    </w:rPr>
                    <m:t>+</m:t>
                  </m:r>
                  <m:sSubSup>
                    <m:sSubSupPr>
                      <m:ctrlPr>
                        <w:rPr>
                          <w:rFonts w:ascii="Cambria Math" w:hAnsi="Cambria Math" w:eastAsia="Times New Roman" w:cs="Times New Roman"/>
                          <w:i/>
                          <w:highlight w:val="yellow"/>
                          <w:lang w:val="en-GB" w:eastAsia="en-GB"/>
                        </w:rPr>
                      </m:ctrlPr>
                    </m:sSubSup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TA,adj</m:t>
                      </m:r>
                      <m:ctrlPr>
                        <w:rPr>
                          <w:rFonts w:ascii="Cambria Math" w:hAnsi="Cambria Math" w:eastAsia="Times New Roman" w:cs="Times New Roman"/>
                          <w:i/>
                          <w:highlight w:val="yellow"/>
                          <w:lang w:val="en-GB" w:eastAsia="en-GB"/>
                        </w:rPr>
                      </m:ctrlPr>
                    </m:sub>
                    <m:sup>
                      <m:r>
                        <m:rPr>
                          <m:nor/>
                          <m:sty m:val="p"/>
                        </m:rPr>
                        <w:rPr>
                          <w:rFonts w:ascii="Times New Roman" w:hAnsi="Times New Roman" w:cs="Times New Roman"/>
                          <w:b w:val="0"/>
                          <w:i w:val="0"/>
                          <w:highlight w:val="yellow"/>
                        </w:rPr>
                        <m:t>common</m:t>
                      </m:r>
                      <m:ctrlPr>
                        <w:rPr>
                          <w:rFonts w:ascii="Cambria Math" w:hAnsi="Cambria Math" w:eastAsia="Times New Roman" w:cs="Times New Roman"/>
                          <w:i/>
                          <w:highlight w:val="yellow"/>
                          <w:lang w:val="en-GB" w:eastAsia="en-GB"/>
                        </w:rPr>
                      </m:ctrlPr>
                    </m:sup>
                  </m:sSubSup>
                  <m:r>
                    <m:rPr/>
                    <w:rPr>
                      <w:rFonts w:ascii="Cambria Math" w:hAnsi="Cambria Math" w:cs="Times New Roman"/>
                      <w:highlight w:val="yellow"/>
                    </w:rPr>
                    <m:t>+</m:t>
                  </m:r>
                  <m:sSubSup>
                    <m:sSubSupPr>
                      <m:ctrlPr>
                        <w:rPr>
                          <w:rFonts w:ascii="Cambria Math" w:hAnsi="Cambria Math" w:eastAsia="Times New Roman" w:cs="Times New Roman"/>
                          <w:i/>
                          <w:highlight w:val="yellow"/>
                          <w:lang w:val="en-GB" w:eastAsia="en-GB"/>
                        </w:rPr>
                      </m:ctrlPr>
                    </m:sSubSupPr>
                    <m:e>
                      <m:r>
                        <m:rPr/>
                        <w:rPr>
                          <w:rFonts w:ascii="Cambria Math" w:hAnsi="Cambria Math" w:cs="Times New Roman"/>
                          <w:highlight w:val="yellow"/>
                        </w:rPr>
                        <m:t>N</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TA,adj</m:t>
                      </m:r>
                      <m:ctrlPr>
                        <w:rPr>
                          <w:rFonts w:ascii="Cambria Math" w:hAnsi="Cambria Math" w:eastAsia="Times New Roman" w:cs="Times New Roman"/>
                          <w:i/>
                          <w:highlight w:val="yellow"/>
                          <w:lang w:val="en-GB" w:eastAsia="en-GB"/>
                        </w:rPr>
                      </m:ctrlPr>
                    </m:sub>
                    <m:sup>
                      <m:r>
                        <m:rPr>
                          <m:nor/>
                          <m:sty m:val="p"/>
                        </m:rPr>
                        <w:rPr>
                          <w:rFonts w:ascii="Times New Roman" w:hAnsi="Times New Roman" w:cs="Times New Roman"/>
                          <w:b w:val="0"/>
                          <w:i w:val="0"/>
                          <w:highlight w:val="yellow"/>
                        </w:rPr>
                        <m:t>UE</m:t>
                      </m:r>
                      <m:ctrlPr>
                        <w:rPr>
                          <w:rFonts w:ascii="Cambria Math" w:hAnsi="Cambria Math" w:eastAsia="Times New Roman" w:cs="Times New Roman"/>
                          <w:i/>
                          <w:highlight w:val="yellow"/>
                          <w:lang w:val="en-GB" w:eastAsia="en-GB"/>
                        </w:rPr>
                      </m:ctrlPr>
                    </m:sup>
                  </m:sSubSup>
                  <m:ctrlPr>
                    <w:rPr>
                      <w:rFonts w:ascii="Cambria Math" w:hAnsi="Cambria Math" w:eastAsia="Times New Roman" w:cs="Times New Roman"/>
                      <w:i/>
                      <w:highlight w:val="yellow"/>
                      <w:lang w:val="en-GB" w:eastAsia="en-GB"/>
                    </w:rPr>
                  </m:ctrlPr>
                </m:e>
              </m:d>
              <m:r>
                <m:rPr/>
                <w:rPr>
                  <w:rFonts w:ascii="Cambria Math" w:hAnsi="Cambria Math" w:cs="Times New Roman"/>
                  <w:highlight w:val="yellow"/>
                  <w:lang w:eastAsia="ko-KR"/>
                </w:rPr>
                <m:t>×</m:t>
              </m:r>
              <m:sSub>
                <m:sSubPr>
                  <m:ctrlPr>
                    <w:rPr>
                      <w:rFonts w:ascii="Cambria Math" w:hAnsi="Cambria Math" w:eastAsia="Times New Roman" w:cs="Times New Roman"/>
                      <w:i/>
                      <w:highlight w:val="yellow"/>
                      <w:lang w:val="en-GB" w:eastAsia="en-GB"/>
                    </w:rPr>
                  </m:ctrlPr>
                </m:sSubPr>
                <m:e>
                  <m:r>
                    <m:rPr/>
                    <w:rPr>
                      <w:rFonts w:ascii="Cambria Math" w:hAnsi="Cambria Math" w:cs="Times New Roman"/>
                      <w:highlight w:val="yellow"/>
                    </w:rPr>
                    <m:t>T</m:t>
                  </m:r>
                  <m:ctrlPr>
                    <w:rPr>
                      <w:rFonts w:ascii="Cambria Math" w:hAnsi="Cambria Math" w:eastAsia="Times New Roman" w:cs="Times New Roman"/>
                      <w:i/>
                      <w:highlight w:val="yellow"/>
                      <w:lang w:val="en-GB" w:eastAsia="en-GB"/>
                    </w:rPr>
                  </m:ctrlPr>
                </m:e>
                <m:sub>
                  <m:r>
                    <m:rPr>
                      <m:nor/>
                      <m:sty m:val="p"/>
                    </m:rPr>
                    <w:rPr>
                      <w:rFonts w:ascii="Times New Roman" w:hAnsi="Times New Roman" w:cs="Times New Roman"/>
                      <w:b w:val="0"/>
                      <w:i w:val="0"/>
                      <w:highlight w:val="yellow"/>
                    </w:rPr>
                    <m:t>c</m:t>
                  </m:r>
                  <m:ctrlPr>
                    <w:rPr>
                      <w:rFonts w:ascii="Cambria Math" w:hAnsi="Cambria Math" w:eastAsia="Times New Roman" w:cs="Times New Roman"/>
                      <w:i/>
                      <w:highlight w:val="yellow"/>
                      <w:lang w:val="en-GB" w:eastAsia="en-GB"/>
                    </w:rPr>
                  </m:ctrlPr>
                </m:sub>
              </m:sSub>
            </m:oMath>
            <w:r>
              <w:rPr>
                <w:rFonts w:ascii="Times New Roman" w:hAnsi="Times New Roman" w:eastAsia="宋体" w:cs="Times New Roman"/>
              </w:rPr>
              <w:t xml:space="preserve"> before the reception of the first detected path (in time) of the corresponding downlink frame from the reference cell. UE initial transmit timing accuracy and gradual timing adjustment requirements are defined in the following requirements.</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default" w:eastAsia="宋体"/>
          <w:sz w:val="22"/>
          <w:lang w:val="en-US" w:eastAsia="zh-CN"/>
        </w:rPr>
        <w:t xml:space="preserve"> </w:t>
      </w:r>
      <w:r>
        <w:rPr>
          <w:rFonts w:hint="eastAsia" w:eastAsia="宋体"/>
          <w:sz w:val="22"/>
          <w:lang w:val="en-US" w:eastAsia="zh-CN"/>
        </w:rPr>
        <w:t>In legacy, the detailed timing analysis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799965" cy="1941830"/>
            <wp:effectExtent l="0" t="0" r="0" b="8890"/>
            <wp:docPr id="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6"/>
                    <pic:cNvPicPr>
                      <a:picLocks noChangeAspect="1"/>
                    </pic:cNvPicPr>
                  </pic:nvPicPr>
                  <pic:blipFill>
                    <a:blip r:embed="rId8"/>
                    <a:stretch>
                      <a:fillRect/>
                    </a:stretch>
                  </pic:blipFill>
                  <pic:spPr>
                    <a:xfrm>
                      <a:off x="0" y="0"/>
                      <a:ext cx="4799965" cy="19418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lang w:val="en-US" w:eastAsia="zh-CN"/>
        </w:rPr>
      </w:pPr>
      <w:r>
        <w:rPr>
          <w:rFonts w:hint="eastAsia" w:eastAsia="宋体"/>
          <w:lang w:val="en-US" w:eastAsia="zh-CN"/>
        </w:rPr>
        <w:t>Figure 3 Timing of transparent payload</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w:t>
      </w:r>
      <w:r>
        <w:rPr>
          <w:rFonts w:hint="eastAsia" w:eastAsia="宋体"/>
          <w:sz w:val="22"/>
          <w:lang w:val="en-US" w:eastAsia="zh-CN"/>
        </w:rPr>
        <w:t>: The value N</w:t>
      </w:r>
      <w:r>
        <w:rPr>
          <w:rFonts w:hint="eastAsia" w:eastAsia="宋体"/>
          <w:sz w:val="22"/>
          <w:vertAlign w:val="subscript"/>
          <w:lang w:val="en-US" w:eastAsia="zh-CN"/>
        </w:rPr>
        <w:t xml:space="preserve">TA </w:t>
      </w:r>
      <w:r>
        <w:rPr>
          <w:rFonts w:hint="eastAsia" w:eastAsia="宋体"/>
          <w:sz w:val="22"/>
          <w:lang w:val="en-US" w:eastAsia="zh-CN"/>
        </w:rPr>
        <w:t>of timing advance is indicated in Msg2 which is the timing adjustment be network.</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TA-offset</w:t>
      </w:r>
      <w:r>
        <w:rPr>
          <w:rFonts w:hint="eastAsia" w:eastAsia="宋体"/>
          <w:sz w:val="22"/>
          <w:lang w:val="en-US" w:eastAsia="zh-CN"/>
        </w:rPr>
        <w:t>: A UE can be provided a value N</w:t>
      </w:r>
      <w:r>
        <w:rPr>
          <w:rFonts w:hint="eastAsia" w:eastAsia="宋体"/>
          <w:sz w:val="22"/>
          <w:vertAlign w:val="subscript"/>
          <w:lang w:val="en-US" w:eastAsia="zh-CN"/>
        </w:rPr>
        <w:t xml:space="preserve">TA-offset </w:t>
      </w:r>
      <w:r>
        <w:rPr>
          <w:rFonts w:hint="eastAsia" w:eastAsia="宋体"/>
          <w:sz w:val="22"/>
          <w:lang w:val="en-US" w:eastAsia="zh-CN"/>
        </w:rPr>
        <w:t>of timing advance offset for a serving cell.</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m:oMath>
        <m:sSubSup>
          <m:sSubSupPr>
            <m:ctrlPr>
              <w:rPr>
                <w:rFonts w:ascii="Cambria Math" w:hAnsi="Cambria Math" w:eastAsia="Times New Roman" w:cs="Times New Roman"/>
                <w:i/>
                <w:highlight w:val="none"/>
                <w:lang w:val="en-GB" w:eastAsia="en-GB"/>
              </w:rPr>
            </m:ctrlPr>
          </m:sSubSupPr>
          <m:e>
            <m:r>
              <m:rPr/>
              <w:rPr>
                <w:rFonts w:ascii="Cambria Math" w:hAnsi="Cambria Math" w:cs="Times New Roman"/>
                <w:highlight w:val="none"/>
              </w:rPr>
              <m:t>N</m:t>
            </m:r>
            <m:ctrlPr>
              <w:rPr>
                <w:rFonts w:ascii="Cambria Math" w:hAnsi="Cambria Math" w:eastAsia="Times New Roman" w:cs="Times New Roman"/>
                <w:i/>
                <w:highlight w:val="none"/>
                <w:lang w:val="en-GB" w:eastAsia="en-GB"/>
              </w:rPr>
            </m:ctrlPr>
          </m:e>
          <m:sub>
            <m:r>
              <m:rPr>
                <m:nor/>
                <m:sty m:val="p"/>
              </m:rPr>
              <w:rPr>
                <w:rFonts w:ascii="Cambria Math" w:hAnsi="Cambria Math" w:cs="Times New Roman"/>
                <w:b w:val="0"/>
                <w:i w:val="0"/>
                <w:highlight w:val="none"/>
              </w:rPr>
              <m:t>TA,adj</m:t>
            </m:r>
            <m:ctrlPr>
              <w:rPr>
                <w:rFonts w:ascii="Cambria Math" w:hAnsi="Cambria Math" w:eastAsia="Times New Roman" w:cs="Times New Roman"/>
                <w:i/>
                <w:highlight w:val="none"/>
                <w:lang w:val="en-GB" w:eastAsia="en-GB"/>
              </w:rPr>
            </m:ctrlPr>
          </m:sub>
          <m:sup>
            <m:r>
              <m:rPr>
                <m:nor/>
                <m:sty m:val="p"/>
              </m:rPr>
              <w:rPr>
                <w:rFonts w:ascii="Cambria Math" w:hAnsi="Cambria Math" w:cs="Times New Roman"/>
                <w:b w:val="0"/>
                <w:i w:val="0"/>
                <w:highlight w:val="none"/>
              </w:rPr>
              <m:t>common</m:t>
            </m:r>
            <m:ctrlPr>
              <w:rPr>
                <w:rFonts w:ascii="Cambria Math" w:hAnsi="Cambria Math" w:eastAsia="Times New Roman" w:cs="Times New Roman"/>
                <w:i/>
                <w:highlight w:val="none"/>
                <w:lang w:val="en-GB" w:eastAsia="en-GB"/>
              </w:rPr>
            </m:ctrlPr>
          </m:sup>
        </m:sSubSup>
      </m:oMath>
      <w:r>
        <w:rPr>
          <w:rFonts w:hint="eastAsia" w:eastAsia="宋体"/>
          <w:sz w:val="22"/>
          <w:highlight w:val="none"/>
          <w:lang w:val="en-US" w:eastAsia="zh-CN"/>
        </w:rPr>
        <w:t>: I</w:t>
      </w:r>
      <w:r>
        <w:t>t is derived from the higher-layer parameters</w:t>
      </w:r>
      <w:r>
        <w:rPr>
          <w:iCs/>
        </w:rPr>
        <w:t xml:space="preserve"> contained assistance information for the serving cell. It is the </w:t>
      </w:r>
      <w:r>
        <w:rPr>
          <w:rFonts w:hint="eastAsia" w:eastAsia="宋体"/>
          <w:iCs/>
          <w:lang w:val="en-US" w:eastAsia="zh-CN"/>
        </w:rPr>
        <w:tab/>
      </w:r>
      <w:r>
        <w:rPr>
          <w:rFonts w:hint="eastAsia" w:eastAsia="宋体"/>
          <w:iCs/>
          <w:lang w:val="en-US" w:eastAsia="zh-CN"/>
        </w:rPr>
        <w:tab/>
      </w:r>
      <w:r>
        <w:rPr>
          <w:rFonts w:hint="eastAsia" w:eastAsia="宋体"/>
          <w:iCs/>
          <w:lang w:val="en-US" w:eastAsia="zh-CN"/>
        </w:rPr>
        <w:tab/>
      </w:r>
      <w:r>
        <w:rPr>
          <w:iCs/>
        </w:rPr>
        <w:t>network-controlled common timing advanced value between reference point and satellite on feeder link</w:t>
      </w:r>
      <w:r>
        <w:rPr>
          <w:rFonts w:hint="eastAsia" w:eastAsia="宋体"/>
          <w:iCs/>
          <w:lang w:val="en-US" w:eastAsia="zh-CN"/>
        </w:rPr>
        <w:t>.</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m:oMath>
        <m:sSubSup>
          <m:sSubSupPr>
            <m:ctrlPr>
              <w:rPr>
                <w:rFonts w:ascii="Cambria Math" w:hAnsi="Cambria Math" w:eastAsia="Times New Roman" w:cs="Times New Roman"/>
                <w:i/>
                <w:highlight w:val="none"/>
                <w:lang w:val="en-GB" w:eastAsia="en-GB"/>
              </w:rPr>
            </m:ctrlPr>
          </m:sSubSupPr>
          <m:e>
            <m:r>
              <m:rPr/>
              <w:rPr>
                <w:rFonts w:ascii="Cambria Math" w:hAnsi="Cambria Math" w:cs="Times New Roman"/>
                <w:highlight w:val="none"/>
              </w:rPr>
              <m:t>N</m:t>
            </m:r>
            <m:ctrlPr>
              <w:rPr>
                <w:rFonts w:ascii="Cambria Math" w:hAnsi="Cambria Math" w:eastAsia="Times New Roman" w:cs="Times New Roman"/>
                <w:i/>
                <w:highlight w:val="none"/>
                <w:lang w:val="en-GB" w:eastAsia="en-GB"/>
              </w:rPr>
            </m:ctrlPr>
          </m:e>
          <m:sub>
            <m:r>
              <m:rPr>
                <m:nor/>
                <m:sty m:val="p"/>
              </m:rPr>
              <w:rPr>
                <w:rFonts w:ascii="Cambria Math" w:hAnsi="Cambria Math" w:cs="Times New Roman"/>
                <w:b w:val="0"/>
                <w:i w:val="0"/>
                <w:highlight w:val="none"/>
              </w:rPr>
              <m:t>TA,adj</m:t>
            </m:r>
            <m:ctrlPr>
              <w:rPr>
                <w:rFonts w:ascii="Cambria Math" w:hAnsi="Cambria Math" w:eastAsia="Times New Roman" w:cs="Times New Roman"/>
                <w:i/>
                <w:highlight w:val="none"/>
                <w:lang w:val="en-GB" w:eastAsia="en-GB"/>
              </w:rPr>
            </m:ctrlPr>
          </m:sub>
          <m:sup>
            <m:r>
              <m:rPr>
                <m:nor/>
                <m:sty m:val="p"/>
              </m:rPr>
              <w:rPr>
                <w:rFonts w:ascii="Cambria Math" w:hAnsi="Cambria Math" w:cs="Times New Roman"/>
                <w:b w:val="0"/>
                <w:i w:val="0"/>
                <w:highlight w:val="none"/>
              </w:rPr>
              <m:t>UE</m:t>
            </m:r>
            <m:ctrlPr>
              <w:rPr>
                <w:rFonts w:ascii="Cambria Math" w:hAnsi="Cambria Math" w:eastAsia="Times New Roman" w:cs="Times New Roman"/>
                <w:i/>
                <w:highlight w:val="none"/>
                <w:lang w:val="en-GB" w:eastAsia="en-GB"/>
              </w:rPr>
            </m:ctrlPr>
          </m:sup>
        </m:sSubSup>
      </m:oMath>
      <w:r>
        <w:rPr>
          <w:rFonts w:hint="eastAsia" w:eastAsia="宋体"/>
          <w:sz w:val="22"/>
          <w:highlight w:val="none"/>
          <w:lang w:val="en-US" w:eastAsia="zh-CN"/>
        </w:rPr>
        <w:t xml:space="preserve">: </w:t>
      </w:r>
      <w:r>
        <w:rPr>
          <w:rFonts w:eastAsiaTheme="minorEastAsia"/>
        </w:rPr>
        <w:t>UE determines it by using the serving satellite position and its own position</w:t>
      </w:r>
      <w:r>
        <w:rPr>
          <w:rFonts w:hint="eastAsia" w:eastAsiaTheme="minorEastAsia"/>
          <w:lang w:val="en-US" w:eastAsia="zh-CN"/>
        </w:rPr>
        <w:t xml:space="preserve"> (GNSS capability)</w:t>
      </w:r>
      <w:r>
        <w:rPr>
          <w:rFonts w:eastAsiaTheme="minorEastAsia"/>
        </w:rPr>
        <w:t xml:space="preserve"> on service link. </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ab/>
      </w:r>
      <w:r>
        <w:rPr>
          <w:rFonts w:eastAsiaTheme="minorEastAsia"/>
        </w:rPr>
        <w:t>For the serving satellite position, it is calculated by UE based on higher-layer ephemeris parameters for a serving satellite</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K</w:t>
      </w:r>
      <w:r>
        <w:rPr>
          <w:rFonts w:hint="eastAsia" w:eastAsia="宋体"/>
          <w:sz w:val="22"/>
          <w:vertAlign w:val="subscript"/>
          <w:lang w:val="en-US" w:eastAsia="zh-CN"/>
        </w:rPr>
        <w:t>MAC</w:t>
      </w:r>
      <w:r>
        <w:rPr>
          <w:rFonts w:hint="eastAsia" w:eastAsia="宋体"/>
          <w:sz w:val="22"/>
          <w:lang w:val="en-US" w:eastAsia="zh-CN"/>
        </w:rPr>
        <w:t xml:space="preserve">:  There is a misalignment between the uplink and downlink frames of the gNB, a scheduling time </w:t>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offset (configured offset) is introduced.</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K</w:t>
      </w:r>
      <w:r>
        <w:rPr>
          <w:rFonts w:hint="eastAsia" w:eastAsia="宋体"/>
          <w:sz w:val="22"/>
          <w:vertAlign w:val="subscript"/>
          <w:lang w:val="en-US" w:eastAsia="zh-CN"/>
        </w:rPr>
        <w:t>offset</w:t>
      </w:r>
      <w:r>
        <w:rPr>
          <w:rFonts w:hint="eastAsia" w:eastAsia="宋体"/>
          <w:sz w:val="22"/>
          <w:lang w:val="en-US" w:eastAsia="zh-CN"/>
        </w:rPr>
        <w:t>: It is a configured scheduling offset.</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default" w:eastAsia="宋体"/>
          <w:sz w:val="22"/>
          <w:lang w:val="en-US" w:eastAsia="zh-CN"/>
        </w:rPr>
        <w:t xml:space="preserve">For the uplink transmission in the aforementioned </w:t>
      </w:r>
      <w:r>
        <w:rPr>
          <w:rFonts w:hint="eastAsia" w:eastAsia="宋体"/>
          <w:sz w:val="22"/>
          <w:lang w:val="en-US" w:eastAsia="zh-CN"/>
        </w:rPr>
        <w:t xml:space="preserve">highlight </w:t>
      </w:r>
      <w:r>
        <w:rPr>
          <w:rFonts w:hint="default" w:eastAsia="宋体"/>
          <w:sz w:val="22"/>
          <w:lang w:val="en-US" w:eastAsia="zh-CN"/>
        </w:rPr>
        <w:t xml:space="preserve">formula, the first three parameters are indicated to the UE by the network, while the last parameter is for the UE's own uplink compensation. For the third parameter, it equals zero in the </w:t>
      </w:r>
      <w:r>
        <w:rPr>
          <w:rFonts w:hint="eastAsia" w:eastAsia="宋体"/>
          <w:sz w:val="22"/>
          <w:lang w:val="en-US" w:eastAsia="zh-CN"/>
        </w:rPr>
        <w:t>regenerative</w:t>
      </w:r>
      <w:r>
        <w:rPr>
          <w:rFonts w:hint="default" w:eastAsia="宋体"/>
          <w:sz w:val="22"/>
          <w:lang w:val="en-US" w:eastAsia="zh-CN"/>
        </w:rPr>
        <w:t xml:space="preserve"> mode.</w:t>
      </w:r>
      <w:r>
        <w:rPr>
          <w:rFonts w:hint="eastAsia" w:eastAsia="宋体"/>
          <w:sz w:val="22"/>
          <w:lang w:val="en-US" w:eastAsia="zh-CN"/>
        </w:rPr>
        <w:t xml:space="preserve"> Based on figure 3, K</w:t>
      </w:r>
      <w:r>
        <w:rPr>
          <w:rFonts w:hint="eastAsia" w:eastAsia="宋体"/>
          <w:sz w:val="22"/>
          <w:vertAlign w:val="subscript"/>
          <w:lang w:val="en-US" w:eastAsia="zh-CN"/>
        </w:rPr>
        <w:t>MAC</w:t>
      </w:r>
      <w:r>
        <w:rPr>
          <w:rFonts w:hint="eastAsia" w:eastAsia="宋体"/>
          <w:sz w:val="22"/>
          <w:lang w:val="en-US" w:eastAsia="zh-CN"/>
        </w:rPr>
        <w:t xml:space="preserve"> is also be zero. And RAN2 also has the same understanding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default"/>
                <w:highlight w:val="none"/>
                <w:lang w:val="en-US" w:eastAsia="zh-CN"/>
              </w:rPr>
              <w:t>RAN2 assumes that the typical setting for common TA and kmac would be zero in case of regenerative mode with full gNB on board. FF</w:t>
            </w:r>
            <w:r>
              <w:rPr>
                <w:rFonts w:hint="default"/>
                <w:lang w:val="en-US" w:eastAsia="zh-CN"/>
              </w:rPr>
              <w:t>S whether we capture in the spec that common TA and Kmac shall/should be set to zero.</w:t>
            </w:r>
          </w:p>
        </w:tc>
      </w:tr>
    </w:tbl>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default" w:eastAsia="宋体"/>
          <w:sz w:val="22"/>
          <w:lang w:val="en-US" w:eastAsia="zh-CN"/>
        </w:rPr>
        <w:t xml:space="preserve">Regarding </w:t>
      </w:r>
      <w:r>
        <w:rPr>
          <w:rFonts w:hint="default" w:eastAsia="宋体"/>
          <w:sz w:val="22"/>
          <w:highlight w:val="none"/>
          <w:lang w:val="en-US" w:eastAsia="zh-CN"/>
        </w:rPr>
        <w:t>Te</w:t>
      </w:r>
      <w:r>
        <w:rPr>
          <w:rFonts w:hint="default" w:eastAsia="宋体"/>
          <w:sz w:val="22"/>
          <w:lang w:val="en-US" w:eastAsia="zh-CN"/>
        </w:rPr>
        <w:t>, we still need to consider the relevant issue in the re</w:t>
      </w:r>
      <w:r>
        <w:rPr>
          <w:rFonts w:hint="eastAsia" w:eastAsia="宋体"/>
          <w:sz w:val="22"/>
          <w:lang w:val="en-US" w:eastAsia="zh-CN"/>
        </w:rPr>
        <w:t>generative</w:t>
      </w:r>
      <w:r>
        <w:rPr>
          <w:rFonts w:hint="default" w:eastAsia="宋体"/>
          <w:sz w:val="22"/>
          <w:lang w:val="en-US" w:eastAsia="zh-CN"/>
        </w:rPr>
        <w:t xml:space="preserve"> mode—the gradual timing adjustment and timing advance adjustment accuracy. </w:t>
      </w:r>
      <w:r>
        <w:rPr>
          <w:rFonts w:hint="eastAsia" w:eastAsia="宋体"/>
          <w:sz w:val="22"/>
          <w:lang w:val="en-US" w:eastAsia="zh-CN"/>
        </w:rPr>
        <w:t>We</w:t>
      </w:r>
      <w:r>
        <w:rPr>
          <w:rFonts w:hint="default" w:eastAsia="宋体"/>
          <w:sz w:val="22"/>
          <w:lang w:val="en-US" w:eastAsia="zh-CN"/>
        </w:rPr>
        <w:t xml:space="preserve"> understand that these have little impact, and they can be defined based on the understanding of the UE's uplink timing compensation behavior.</w:t>
      </w:r>
      <w:r>
        <w:rPr>
          <w:rFonts w:hint="eastAsia" w:eastAsia="宋体"/>
          <w:sz w:val="22"/>
          <w:lang w:val="en-US" w:eastAsia="zh-CN"/>
        </w:rPr>
        <w:t xml:space="preserve">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Compared to transparent payload, the reference point is only on payload not on the feeder link, where the common TA and K</w:t>
      </w:r>
      <w:r>
        <w:rPr>
          <w:rFonts w:hint="eastAsia" w:eastAsia="宋体"/>
          <w:b/>
          <w:bCs/>
          <w:sz w:val="22"/>
          <w:vertAlign w:val="subscript"/>
          <w:lang w:val="en-US" w:eastAsia="zh-CN"/>
        </w:rPr>
        <w:t>MAC</w:t>
      </w:r>
      <w:r>
        <w:rPr>
          <w:rFonts w:hint="eastAsia" w:eastAsia="宋体"/>
          <w:b/>
          <w:bCs/>
          <w:sz w:val="22"/>
          <w:lang w:val="en-US" w:eastAsia="zh-CN"/>
        </w:rPr>
        <w:t xml:space="preserve"> is 0.</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4: RAN4 shall clarify that there is little difference between transparent payload and regenerative payload on timing advance.</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2.2.3 RACH-less handover</w:t>
      </w:r>
    </w:p>
    <w:p>
      <w:pPr>
        <w:overflowPunct w:val="0"/>
        <w:autoSpaceDE w:val="0"/>
        <w:autoSpaceDN w:val="0"/>
        <w:adjustRightInd w:val="0"/>
        <w:spacing w:before="120" w:after="120" w:line="360" w:lineRule="auto"/>
        <w:jc w:val="both"/>
        <w:textAlignment w:val="baseline"/>
        <w:rPr>
          <w:rFonts w:hint="default" w:eastAsia="宋体"/>
          <w:b w:val="0"/>
          <w:bCs w:val="0"/>
          <w:sz w:val="22"/>
          <w:lang w:val="en-US" w:eastAsia="zh-CN"/>
        </w:rPr>
      </w:pPr>
      <w:r>
        <w:rPr>
          <w:rFonts w:hint="default" w:eastAsia="宋体"/>
          <w:b w:val="0"/>
          <w:bCs w:val="0"/>
          <w:sz w:val="22"/>
          <w:lang w:val="en-US" w:eastAsia="zh-CN"/>
        </w:rPr>
        <w:t>RAN2 has already reached the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9"/>
              </w:numPr>
              <w:rPr>
                <w:rFonts w:hint="default"/>
                <w:highlight w:val="none"/>
                <w:lang w:val="en-US" w:eastAsia="zh-CN"/>
              </w:rPr>
            </w:pPr>
            <w:r>
              <w:rPr>
                <w:rFonts w:hint="default"/>
                <w:highlight w:val="none"/>
                <w:lang w:val="en-US" w:eastAsia="zh-CN"/>
              </w:rPr>
              <w:t>RAN2 confirms the understanding that legacy UEs should be supported in a regenerative payload scenario.</w:t>
            </w:r>
          </w:p>
          <w:p>
            <w:pPr>
              <w:rPr>
                <w:rFonts w:hint="default"/>
                <w:highlight w:val="yellow"/>
                <w:lang w:val="en-US" w:eastAsia="zh-CN"/>
              </w:rPr>
            </w:pPr>
            <w:r>
              <w:rPr>
                <w:rFonts w:hint="eastAsia"/>
                <w:highlight w:val="none"/>
                <w:lang w:val="en-US" w:eastAsia="zh-CN"/>
              </w:rPr>
              <w:t xml:space="preserve">2 </w:t>
            </w:r>
            <w:r>
              <w:rPr>
                <w:rFonts w:hint="default"/>
                <w:highlight w:val="none"/>
                <w:lang w:val="en-US" w:eastAsia="zh-CN"/>
              </w:rPr>
              <w:t>RAN2 understanding is that for regenerative payload existing RACH-less HO could be applied directly, no further Uu enhancement is needed.</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lang w:val="en-US" w:eastAsia="zh-CN"/>
        </w:rPr>
      </w:pPr>
      <w:r>
        <w:rPr>
          <w:rFonts w:hint="eastAsia" w:eastAsia="宋体"/>
          <w:b w:val="0"/>
          <w:bCs w:val="0"/>
          <w:sz w:val="22"/>
          <w:lang w:val="en-US" w:eastAsia="zh-CN"/>
        </w:rPr>
        <w:t>RAN2 confirms the legacy UEs shall also be supported in the regenerative mode. Also, the existing RACH-less handover procedure for transparent payload scenario can be directly used in regenerative mode. Thus, we deem that the procedure for RACH-less handover is not changed and the existing RACH-less handover requirements shall be reused for regenerative mode.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5: RAN2 confirms the existing RACH-less handover procedure for transparent payload scenario can be directly used in regenerative mode.</w:t>
      </w:r>
    </w:p>
    <w:p>
      <w:pPr>
        <w:overflowPunct w:val="0"/>
        <w:autoSpaceDE w:val="0"/>
        <w:autoSpaceDN w:val="0"/>
        <w:adjustRightInd w:val="0"/>
        <w:spacing w:before="120" w:after="120" w:line="360" w:lineRule="auto"/>
        <w:jc w:val="both"/>
        <w:textAlignment w:val="baseline"/>
        <w:rPr>
          <w:rFonts w:hint="default" w:eastAsia="宋体"/>
          <w:b w:val="0"/>
          <w:bCs w:val="0"/>
          <w:sz w:val="22"/>
          <w:lang w:val="en-US" w:eastAsia="zh-CN"/>
        </w:rPr>
      </w:pPr>
      <w:r>
        <w:rPr>
          <w:rFonts w:hint="eastAsia" w:eastAsia="宋体"/>
          <w:b/>
          <w:bCs/>
          <w:sz w:val="22"/>
          <w:lang w:val="en-US" w:eastAsia="zh-CN"/>
        </w:rPr>
        <w:t>Proposal 5: The existing RACH-less handover requirements shall be reused for regenerative mode</w:t>
      </w:r>
      <w:r>
        <w:rPr>
          <w:rFonts w:hint="eastAsia" w:eastAsia="宋体"/>
          <w:b w:val="0"/>
          <w:bCs w:val="0"/>
          <w:sz w:val="22"/>
          <w:lang w:val="en-US" w:eastAsia="zh-CN"/>
        </w:rPr>
        <w:t>.</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enhancement phase 3</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1: The SSB periodicity shall be extended in order to enhance the downlink coverage and RAN1/RAN2 are under 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2: Almost RRM requirements will be impacted if the SSB periodicity is extended since the cell re-selection and L1/L3 measurements are based on SSB signal.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1: The most of RRM requirements shall be updated if RAN1/RAN2 have the concrete conclusions on SSB periodicity extension.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 xml:space="preserve">Observation 3: N1 beam footprints are in state </w:t>
      </w:r>
      <w:r>
        <w:rPr>
          <w:rFonts w:hint="default" w:eastAsia="宋体" w:cs="Times New Roman"/>
          <w:b/>
          <w:bCs/>
          <w:sz w:val="22"/>
          <w:lang w:val="en-US" w:eastAsia="zh-CN"/>
        </w:rPr>
        <w:t>“</w:t>
      </w:r>
      <w:r>
        <w:rPr>
          <w:rFonts w:hint="eastAsia" w:eastAsia="宋体" w:cs="Times New Roman"/>
          <w:b/>
          <w:bCs/>
          <w:sz w:val="22"/>
          <w:lang w:val="en-US" w:eastAsia="zh-CN"/>
        </w:rPr>
        <w:t>off</w:t>
      </w:r>
      <w:r>
        <w:rPr>
          <w:rFonts w:hint="default" w:eastAsia="宋体" w:cs="Times New Roman"/>
          <w:b/>
          <w:bCs/>
          <w:sz w:val="22"/>
          <w:lang w:val="en-US" w:eastAsia="zh-CN"/>
        </w:rPr>
        <w:t>”</w:t>
      </w:r>
      <w:r>
        <w:rPr>
          <w:rFonts w:hint="eastAsia" w:eastAsia="宋体" w:cs="Times New Roman"/>
          <w:b/>
          <w:bCs/>
          <w:sz w:val="22"/>
          <w:lang w:val="en-US" w:eastAsia="zh-CN"/>
        </w:rPr>
        <w:t xml:space="preserve"> which means NTN service is not-available and UE will not receive any downlink signals including SSB and  CSI-RS.</w:t>
      </w:r>
    </w:p>
    <w:p>
      <w:r>
        <w:rPr>
          <w:rFonts w:hint="eastAsia" w:eastAsia="宋体" w:cs="Times New Roman"/>
          <w:b/>
          <w:bCs/>
          <w:sz w:val="22"/>
          <w:lang w:val="en-US" w:eastAsia="zh-CN"/>
        </w:rPr>
        <w:t>Proposal 2: UEs in N1 coverage will not perform any RRM measurements such as L3/L1 measurement in RRC Connected state and cell re-selection measurement in RRC Idle/Inactive state.</w:t>
      </w:r>
    </w:p>
    <w:p>
      <w:r>
        <w:rPr>
          <w:rFonts w:hint="eastAsia" w:eastAsia="宋体"/>
          <w:b/>
          <w:bCs/>
          <w:sz w:val="22"/>
          <w:lang w:val="en-US" w:eastAsia="zh-CN"/>
        </w:rPr>
        <w:t>Proposal 3: RAN4 shall reuse the legacy multiple SMTCs mechanism for regenerative payload.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Compared to transparent payload, the reference point is only on payload not on the feeder link, where the common TA and K</w:t>
      </w:r>
      <w:r>
        <w:rPr>
          <w:rFonts w:hint="eastAsia" w:eastAsia="宋体"/>
          <w:b/>
          <w:bCs/>
          <w:sz w:val="22"/>
          <w:vertAlign w:val="subscript"/>
          <w:lang w:val="en-US" w:eastAsia="zh-CN"/>
        </w:rPr>
        <w:t>MAC</w:t>
      </w:r>
      <w:r>
        <w:rPr>
          <w:rFonts w:hint="eastAsia" w:eastAsia="宋体"/>
          <w:b/>
          <w:bCs/>
          <w:sz w:val="22"/>
          <w:lang w:val="en-US" w:eastAsia="zh-CN"/>
        </w:rPr>
        <w:t xml:space="preserve"> is 0.</w:t>
      </w:r>
    </w:p>
    <w:p>
      <w:r>
        <w:rPr>
          <w:rFonts w:hint="eastAsia" w:eastAsia="宋体"/>
          <w:b/>
          <w:bCs/>
          <w:sz w:val="22"/>
          <w:lang w:val="en-US" w:eastAsia="zh-CN"/>
        </w:rPr>
        <w:t>Proposal 4: RAN4 shall clarify that there is little difference between transparent payload and regenerative payload on timing advance.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5: RAN2 confirms the existing RACH-less handover procedure for transparent payload scenario can be directly used in regenerative mode.</w:t>
      </w:r>
    </w:p>
    <w:p>
      <w:pPr>
        <w:overflowPunct w:val="0"/>
        <w:autoSpaceDE w:val="0"/>
        <w:autoSpaceDN w:val="0"/>
        <w:adjustRightInd w:val="0"/>
        <w:spacing w:before="120" w:after="120" w:line="360" w:lineRule="auto"/>
        <w:jc w:val="both"/>
        <w:textAlignment w:val="baseline"/>
        <w:rPr>
          <w:rFonts w:hint="default" w:eastAsia="宋体"/>
          <w:b w:val="0"/>
          <w:bCs w:val="0"/>
          <w:sz w:val="22"/>
          <w:lang w:val="en-US" w:eastAsia="zh-CN"/>
        </w:rPr>
      </w:pPr>
      <w:r>
        <w:rPr>
          <w:rFonts w:hint="eastAsia" w:eastAsia="宋体"/>
          <w:b/>
          <w:bCs/>
          <w:sz w:val="22"/>
          <w:lang w:val="en-US" w:eastAsia="zh-CN"/>
        </w:rPr>
        <w:t>Proposal 5: The existing RACH-less handover requirements shall be reused for regenerative mode</w:t>
      </w:r>
      <w:r>
        <w:rPr>
          <w:rFonts w:hint="eastAsia" w:eastAsia="宋体"/>
          <w:b w:val="0"/>
          <w:bCs w:val="0"/>
          <w:sz w:val="22"/>
          <w:lang w:val="en-US" w:eastAsia="zh-CN"/>
        </w:rPr>
        <w:t>.</w:t>
      </w:r>
    </w:p>
    <w:p>
      <w:pPr>
        <w:overflowPunct w:val="0"/>
        <w:autoSpaceDE w:val="0"/>
        <w:autoSpaceDN w:val="0"/>
        <w:adjustRightInd w:val="0"/>
        <w:spacing w:before="120" w:after="120" w:line="360" w:lineRule="auto"/>
        <w:jc w:val="both"/>
        <w:textAlignment w:val="baseline"/>
        <w:rPr>
          <w:b/>
          <w:bCs/>
          <w:sz w:val="22"/>
          <w:szCs w:val="22"/>
          <w:lang w:val="en-US" w:eastAsia="zh-CN"/>
        </w:rPr>
      </w:pPr>
    </w:p>
    <w:p>
      <w:pPr>
        <w:pStyle w:val="76"/>
        <w:numPr>
          <w:ilvl w:val="0"/>
          <w:numId w:val="0"/>
        </w:numPr>
        <w:ind w:left="360" w:hanging="360"/>
        <w:rPr>
          <w:lang w:val="en-US"/>
        </w:rPr>
      </w:pPr>
      <w:r>
        <w:rPr>
          <w:lang w:val="en-US"/>
        </w:rPr>
        <w:t>References</w:t>
      </w:r>
    </w:p>
    <w:p>
      <w:pPr>
        <w:rPr>
          <w:lang w:val="en-US"/>
        </w:rPr>
      </w:pPr>
      <w:bookmarkStart w:id="3" w:name="_Ref114500673"/>
      <w:bookmarkEnd w:id="3"/>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AF120"/>
    <w:multiLevelType w:val="singleLevel"/>
    <w:tmpl w:val="BE0AF120"/>
    <w:lvl w:ilvl="0" w:tentative="0">
      <w:start w:val="1"/>
      <w:numFmt w:val="bullet"/>
      <w:lvlText w:val=""/>
      <w:lvlJc w:val="left"/>
      <w:pPr>
        <w:tabs>
          <w:tab w:val="left" w:pos="420"/>
        </w:tabs>
        <w:ind w:left="840" w:hanging="420"/>
      </w:pPr>
      <w:rPr>
        <w:rFonts w:hint="default" w:ascii="Wingdings" w:hAnsi="Wingdings"/>
      </w:rPr>
    </w:lvl>
  </w:abstractNum>
  <w:abstractNum w:abstractNumId="1">
    <w:nsid w:val="C317B32C"/>
    <w:multiLevelType w:val="singleLevel"/>
    <w:tmpl w:val="C317B32C"/>
    <w:lvl w:ilvl="0" w:tentative="0">
      <w:start w:val="1"/>
      <w:numFmt w:val="bullet"/>
      <w:lvlText w:val=""/>
      <w:lvlJc w:val="left"/>
      <w:pPr>
        <w:ind w:left="420" w:hanging="420"/>
      </w:pPr>
      <w:rPr>
        <w:rFonts w:hint="default" w:ascii="Wingdings" w:hAnsi="Wingdings"/>
      </w:rPr>
    </w:lvl>
  </w:abstractNum>
  <w:abstractNum w:abstractNumId="2">
    <w:nsid w:val="DD893A56"/>
    <w:multiLevelType w:val="singleLevel"/>
    <w:tmpl w:val="DD893A56"/>
    <w:lvl w:ilvl="0" w:tentative="0">
      <w:start w:val="1"/>
      <w:numFmt w:val="decimal"/>
      <w:suff w:val="space"/>
      <w:lvlText w:val="%1."/>
      <w:lvlJc w:val="left"/>
    </w:lvl>
  </w:abstractNum>
  <w:abstractNum w:abstractNumId="3">
    <w:nsid w:val="F49E9D98"/>
    <w:multiLevelType w:val="singleLevel"/>
    <w:tmpl w:val="F49E9D98"/>
    <w:lvl w:ilvl="0" w:tentative="0">
      <w:start w:val="1"/>
      <w:numFmt w:val="decimal"/>
      <w:suff w:val="space"/>
      <w:lvlText w:val="%1."/>
      <w:lvlJc w:val="left"/>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6"/>
  </w:num>
  <w:num w:numId="3">
    <w:abstractNumId w:val="8"/>
  </w:num>
  <w:num w:numId="4">
    <w:abstractNumId w:val="4"/>
  </w:num>
  <w:num w:numId="5">
    <w:abstractNumId w:val="1"/>
  </w:num>
  <w:num w:numId="6">
    <w:abstractNumId w:val="0"/>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4633"/>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629BA"/>
    <w:rsid w:val="01256C52"/>
    <w:rsid w:val="01295F0D"/>
    <w:rsid w:val="013D472E"/>
    <w:rsid w:val="01406A1E"/>
    <w:rsid w:val="01410DC2"/>
    <w:rsid w:val="01536085"/>
    <w:rsid w:val="01572F42"/>
    <w:rsid w:val="0158163D"/>
    <w:rsid w:val="015A322D"/>
    <w:rsid w:val="016112D3"/>
    <w:rsid w:val="01652E48"/>
    <w:rsid w:val="01726FEF"/>
    <w:rsid w:val="018F1743"/>
    <w:rsid w:val="018F25C8"/>
    <w:rsid w:val="01906A5B"/>
    <w:rsid w:val="01907C39"/>
    <w:rsid w:val="01B8645F"/>
    <w:rsid w:val="01E70C97"/>
    <w:rsid w:val="01EA15CF"/>
    <w:rsid w:val="01FC7C1B"/>
    <w:rsid w:val="021D3C93"/>
    <w:rsid w:val="02402E7C"/>
    <w:rsid w:val="02505886"/>
    <w:rsid w:val="029011A2"/>
    <w:rsid w:val="02922A4D"/>
    <w:rsid w:val="029D79D6"/>
    <w:rsid w:val="02A03627"/>
    <w:rsid w:val="02B63EF1"/>
    <w:rsid w:val="02BB608A"/>
    <w:rsid w:val="02CB7221"/>
    <w:rsid w:val="02DB4554"/>
    <w:rsid w:val="02EC4357"/>
    <w:rsid w:val="02EE768C"/>
    <w:rsid w:val="02FA1082"/>
    <w:rsid w:val="031778E0"/>
    <w:rsid w:val="031B60F3"/>
    <w:rsid w:val="0327096F"/>
    <w:rsid w:val="032A315A"/>
    <w:rsid w:val="03481CC2"/>
    <w:rsid w:val="034E163D"/>
    <w:rsid w:val="035508BA"/>
    <w:rsid w:val="0375005C"/>
    <w:rsid w:val="038346FC"/>
    <w:rsid w:val="03A21826"/>
    <w:rsid w:val="03A3177A"/>
    <w:rsid w:val="03B81428"/>
    <w:rsid w:val="03BF3D9F"/>
    <w:rsid w:val="03C80AD2"/>
    <w:rsid w:val="03C95263"/>
    <w:rsid w:val="03E4716B"/>
    <w:rsid w:val="03EC2B7B"/>
    <w:rsid w:val="03F0584F"/>
    <w:rsid w:val="03F31292"/>
    <w:rsid w:val="03FA7E60"/>
    <w:rsid w:val="03FB5627"/>
    <w:rsid w:val="04076F95"/>
    <w:rsid w:val="04242812"/>
    <w:rsid w:val="042736AF"/>
    <w:rsid w:val="0432382E"/>
    <w:rsid w:val="04383CC9"/>
    <w:rsid w:val="04421BA4"/>
    <w:rsid w:val="044B12E0"/>
    <w:rsid w:val="046301A2"/>
    <w:rsid w:val="046A0693"/>
    <w:rsid w:val="04732FB8"/>
    <w:rsid w:val="0477105B"/>
    <w:rsid w:val="047D2013"/>
    <w:rsid w:val="04871DE8"/>
    <w:rsid w:val="048F6485"/>
    <w:rsid w:val="04A12403"/>
    <w:rsid w:val="04A815F7"/>
    <w:rsid w:val="04A92035"/>
    <w:rsid w:val="04AD06A4"/>
    <w:rsid w:val="04BD1E3A"/>
    <w:rsid w:val="04C94AE8"/>
    <w:rsid w:val="04DB7BCA"/>
    <w:rsid w:val="04E04910"/>
    <w:rsid w:val="050C7718"/>
    <w:rsid w:val="05176C7C"/>
    <w:rsid w:val="05214F03"/>
    <w:rsid w:val="053E2528"/>
    <w:rsid w:val="055E02FB"/>
    <w:rsid w:val="056A3BE2"/>
    <w:rsid w:val="057E488D"/>
    <w:rsid w:val="05913C94"/>
    <w:rsid w:val="05AE2916"/>
    <w:rsid w:val="05B1379B"/>
    <w:rsid w:val="05C6466C"/>
    <w:rsid w:val="05CF02ED"/>
    <w:rsid w:val="05DB67C3"/>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AB2A7F"/>
    <w:rsid w:val="06B70A90"/>
    <w:rsid w:val="06BB7ADE"/>
    <w:rsid w:val="06C82223"/>
    <w:rsid w:val="06DE41D3"/>
    <w:rsid w:val="06E73497"/>
    <w:rsid w:val="06FB066E"/>
    <w:rsid w:val="07007517"/>
    <w:rsid w:val="07073FA3"/>
    <w:rsid w:val="071D566E"/>
    <w:rsid w:val="07262AE1"/>
    <w:rsid w:val="072F7FC6"/>
    <w:rsid w:val="0732584E"/>
    <w:rsid w:val="073C7FDB"/>
    <w:rsid w:val="07565116"/>
    <w:rsid w:val="075A7EF6"/>
    <w:rsid w:val="076202A2"/>
    <w:rsid w:val="076A2A73"/>
    <w:rsid w:val="07713742"/>
    <w:rsid w:val="07754CC8"/>
    <w:rsid w:val="07774C5C"/>
    <w:rsid w:val="077B6562"/>
    <w:rsid w:val="07AE506C"/>
    <w:rsid w:val="07B54B15"/>
    <w:rsid w:val="07BC23FD"/>
    <w:rsid w:val="07C22AAD"/>
    <w:rsid w:val="07C3764D"/>
    <w:rsid w:val="07CE3ADB"/>
    <w:rsid w:val="07F6399B"/>
    <w:rsid w:val="07F66AC5"/>
    <w:rsid w:val="0833764C"/>
    <w:rsid w:val="08377C87"/>
    <w:rsid w:val="083A0C0C"/>
    <w:rsid w:val="08407581"/>
    <w:rsid w:val="084677D5"/>
    <w:rsid w:val="0848005E"/>
    <w:rsid w:val="084B1A9E"/>
    <w:rsid w:val="084C657D"/>
    <w:rsid w:val="084D12F0"/>
    <w:rsid w:val="08674142"/>
    <w:rsid w:val="087029A6"/>
    <w:rsid w:val="087B6B61"/>
    <w:rsid w:val="087E40F9"/>
    <w:rsid w:val="08887A18"/>
    <w:rsid w:val="088A5513"/>
    <w:rsid w:val="08916AA8"/>
    <w:rsid w:val="089F664F"/>
    <w:rsid w:val="08A203F3"/>
    <w:rsid w:val="08AF00C1"/>
    <w:rsid w:val="08B531C0"/>
    <w:rsid w:val="08BB1078"/>
    <w:rsid w:val="08BD1F16"/>
    <w:rsid w:val="08C95BAB"/>
    <w:rsid w:val="08CD401D"/>
    <w:rsid w:val="08D53034"/>
    <w:rsid w:val="08DA28B3"/>
    <w:rsid w:val="08DD2BEF"/>
    <w:rsid w:val="08FF0843"/>
    <w:rsid w:val="0903652D"/>
    <w:rsid w:val="090556C6"/>
    <w:rsid w:val="09104DCD"/>
    <w:rsid w:val="091A5ED7"/>
    <w:rsid w:val="091C11FF"/>
    <w:rsid w:val="09226210"/>
    <w:rsid w:val="092B5520"/>
    <w:rsid w:val="09305CA1"/>
    <w:rsid w:val="09335E2F"/>
    <w:rsid w:val="094C40B4"/>
    <w:rsid w:val="09604EF4"/>
    <w:rsid w:val="09606948"/>
    <w:rsid w:val="09672750"/>
    <w:rsid w:val="096D012E"/>
    <w:rsid w:val="096E0D4F"/>
    <w:rsid w:val="09736AE0"/>
    <w:rsid w:val="09915825"/>
    <w:rsid w:val="09E30E5D"/>
    <w:rsid w:val="09E97A33"/>
    <w:rsid w:val="09F331B4"/>
    <w:rsid w:val="0A101B49"/>
    <w:rsid w:val="0A1364A3"/>
    <w:rsid w:val="0A143BE1"/>
    <w:rsid w:val="0A2638DB"/>
    <w:rsid w:val="0A286DFB"/>
    <w:rsid w:val="0A470CEC"/>
    <w:rsid w:val="0A475469"/>
    <w:rsid w:val="0A4856E0"/>
    <w:rsid w:val="0A4D3E03"/>
    <w:rsid w:val="0A5164D1"/>
    <w:rsid w:val="0A617D3D"/>
    <w:rsid w:val="0A6C43DE"/>
    <w:rsid w:val="0A8452CE"/>
    <w:rsid w:val="0ABC02E8"/>
    <w:rsid w:val="0AC16484"/>
    <w:rsid w:val="0ACB2015"/>
    <w:rsid w:val="0AD20D5E"/>
    <w:rsid w:val="0AD555AC"/>
    <w:rsid w:val="0AED24FC"/>
    <w:rsid w:val="0B0444E5"/>
    <w:rsid w:val="0B0C593E"/>
    <w:rsid w:val="0B0F4A80"/>
    <w:rsid w:val="0B147818"/>
    <w:rsid w:val="0B1B1997"/>
    <w:rsid w:val="0B24532C"/>
    <w:rsid w:val="0B3F6621"/>
    <w:rsid w:val="0B4D2A88"/>
    <w:rsid w:val="0B527B25"/>
    <w:rsid w:val="0B565626"/>
    <w:rsid w:val="0B5E0983"/>
    <w:rsid w:val="0B6251C3"/>
    <w:rsid w:val="0B6A4840"/>
    <w:rsid w:val="0B707256"/>
    <w:rsid w:val="0B7129F9"/>
    <w:rsid w:val="0B713897"/>
    <w:rsid w:val="0B744B6D"/>
    <w:rsid w:val="0B7E60C9"/>
    <w:rsid w:val="0B8730CC"/>
    <w:rsid w:val="0B8D7CFF"/>
    <w:rsid w:val="0B927AF3"/>
    <w:rsid w:val="0BA00262"/>
    <w:rsid w:val="0BA069F6"/>
    <w:rsid w:val="0BA92341"/>
    <w:rsid w:val="0BB6397D"/>
    <w:rsid w:val="0BC82D04"/>
    <w:rsid w:val="0BD16DAE"/>
    <w:rsid w:val="0BE05B3D"/>
    <w:rsid w:val="0BEF4F2C"/>
    <w:rsid w:val="0BF03462"/>
    <w:rsid w:val="0BF56721"/>
    <w:rsid w:val="0C13117C"/>
    <w:rsid w:val="0C226DB2"/>
    <w:rsid w:val="0C351552"/>
    <w:rsid w:val="0C5161F8"/>
    <w:rsid w:val="0C52360D"/>
    <w:rsid w:val="0C721B20"/>
    <w:rsid w:val="0C755A7E"/>
    <w:rsid w:val="0C7C1976"/>
    <w:rsid w:val="0CAC6DE2"/>
    <w:rsid w:val="0CBA5E3E"/>
    <w:rsid w:val="0CCB3B11"/>
    <w:rsid w:val="0CD82F88"/>
    <w:rsid w:val="0CDE55BC"/>
    <w:rsid w:val="0CDF3914"/>
    <w:rsid w:val="0CEA2CF7"/>
    <w:rsid w:val="0CF377F7"/>
    <w:rsid w:val="0CF77F3A"/>
    <w:rsid w:val="0CFA155A"/>
    <w:rsid w:val="0CFD24DF"/>
    <w:rsid w:val="0D035130"/>
    <w:rsid w:val="0D222892"/>
    <w:rsid w:val="0D225E27"/>
    <w:rsid w:val="0D23336E"/>
    <w:rsid w:val="0D284B82"/>
    <w:rsid w:val="0D2E60EE"/>
    <w:rsid w:val="0D3A5239"/>
    <w:rsid w:val="0D3A7039"/>
    <w:rsid w:val="0D3F3A0E"/>
    <w:rsid w:val="0D415F82"/>
    <w:rsid w:val="0D4356A8"/>
    <w:rsid w:val="0D5B0F8B"/>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3D2E6B"/>
    <w:rsid w:val="0E402695"/>
    <w:rsid w:val="0E500807"/>
    <w:rsid w:val="0E604325"/>
    <w:rsid w:val="0E6B26B6"/>
    <w:rsid w:val="0E6B4543"/>
    <w:rsid w:val="0E777792"/>
    <w:rsid w:val="0E7A2CD0"/>
    <w:rsid w:val="0E7B1FCA"/>
    <w:rsid w:val="0E7E38D5"/>
    <w:rsid w:val="0E85325F"/>
    <w:rsid w:val="0E880E39"/>
    <w:rsid w:val="0E904E74"/>
    <w:rsid w:val="0E9D025B"/>
    <w:rsid w:val="0EA8225F"/>
    <w:rsid w:val="0EA87B9E"/>
    <w:rsid w:val="0EBF433E"/>
    <w:rsid w:val="0ECA2E90"/>
    <w:rsid w:val="0ED01837"/>
    <w:rsid w:val="0ED33A29"/>
    <w:rsid w:val="0EE15B77"/>
    <w:rsid w:val="0EF97174"/>
    <w:rsid w:val="0F0F3D45"/>
    <w:rsid w:val="0F2550AA"/>
    <w:rsid w:val="0F274403"/>
    <w:rsid w:val="0F3A116B"/>
    <w:rsid w:val="0F48005B"/>
    <w:rsid w:val="0F4B2361"/>
    <w:rsid w:val="0F511411"/>
    <w:rsid w:val="0F6C5E1D"/>
    <w:rsid w:val="0F703346"/>
    <w:rsid w:val="0F7066E0"/>
    <w:rsid w:val="0F80004E"/>
    <w:rsid w:val="0F871EAB"/>
    <w:rsid w:val="0F9F1528"/>
    <w:rsid w:val="0FC96267"/>
    <w:rsid w:val="0FD51005"/>
    <w:rsid w:val="0FD57709"/>
    <w:rsid w:val="0FD6046F"/>
    <w:rsid w:val="0FDF5A14"/>
    <w:rsid w:val="0FE30C1D"/>
    <w:rsid w:val="1008703A"/>
    <w:rsid w:val="100F718A"/>
    <w:rsid w:val="10126FBC"/>
    <w:rsid w:val="10242C9A"/>
    <w:rsid w:val="10297193"/>
    <w:rsid w:val="103809FF"/>
    <w:rsid w:val="103B4DE8"/>
    <w:rsid w:val="104344BA"/>
    <w:rsid w:val="10600639"/>
    <w:rsid w:val="10755F8E"/>
    <w:rsid w:val="10764104"/>
    <w:rsid w:val="10795489"/>
    <w:rsid w:val="10816F43"/>
    <w:rsid w:val="1096068D"/>
    <w:rsid w:val="10B81EFA"/>
    <w:rsid w:val="10B951CF"/>
    <w:rsid w:val="10BB3068"/>
    <w:rsid w:val="10D82C05"/>
    <w:rsid w:val="10F37BB3"/>
    <w:rsid w:val="11061C8F"/>
    <w:rsid w:val="110E3EB6"/>
    <w:rsid w:val="11131D94"/>
    <w:rsid w:val="111778A8"/>
    <w:rsid w:val="111E4B32"/>
    <w:rsid w:val="1124277B"/>
    <w:rsid w:val="112A1125"/>
    <w:rsid w:val="112C7D69"/>
    <w:rsid w:val="114143DD"/>
    <w:rsid w:val="11454527"/>
    <w:rsid w:val="114731E5"/>
    <w:rsid w:val="11617971"/>
    <w:rsid w:val="11622F64"/>
    <w:rsid w:val="116F4939"/>
    <w:rsid w:val="117016A9"/>
    <w:rsid w:val="117049F3"/>
    <w:rsid w:val="11846297"/>
    <w:rsid w:val="118660F9"/>
    <w:rsid w:val="11911E2E"/>
    <w:rsid w:val="11AC730F"/>
    <w:rsid w:val="11AD4D58"/>
    <w:rsid w:val="11B13797"/>
    <w:rsid w:val="11B67206"/>
    <w:rsid w:val="11BA4661"/>
    <w:rsid w:val="11BA6A1A"/>
    <w:rsid w:val="11BC62A5"/>
    <w:rsid w:val="11BF1687"/>
    <w:rsid w:val="11C70182"/>
    <w:rsid w:val="11D0797A"/>
    <w:rsid w:val="11E411C4"/>
    <w:rsid w:val="11E43DA7"/>
    <w:rsid w:val="11EB6DF4"/>
    <w:rsid w:val="11EE75FC"/>
    <w:rsid w:val="11FA2349"/>
    <w:rsid w:val="11FD2592"/>
    <w:rsid w:val="12044AB3"/>
    <w:rsid w:val="12117034"/>
    <w:rsid w:val="12342A01"/>
    <w:rsid w:val="123D5749"/>
    <w:rsid w:val="123F12C9"/>
    <w:rsid w:val="12533BE9"/>
    <w:rsid w:val="125B4B29"/>
    <w:rsid w:val="126548EE"/>
    <w:rsid w:val="12672AB8"/>
    <w:rsid w:val="12817181"/>
    <w:rsid w:val="12921148"/>
    <w:rsid w:val="129E31BE"/>
    <w:rsid w:val="129E41E5"/>
    <w:rsid w:val="129E6898"/>
    <w:rsid w:val="12A50021"/>
    <w:rsid w:val="12AA4BE9"/>
    <w:rsid w:val="12B40A3B"/>
    <w:rsid w:val="12C003F7"/>
    <w:rsid w:val="12C7679B"/>
    <w:rsid w:val="12DD774D"/>
    <w:rsid w:val="12DF0986"/>
    <w:rsid w:val="12E20B88"/>
    <w:rsid w:val="13272F78"/>
    <w:rsid w:val="133E4EC4"/>
    <w:rsid w:val="13434E27"/>
    <w:rsid w:val="135C37D3"/>
    <w:rsid w:val="1361146A"/>
    <w:rsid w:val="136404F3"/>
    <w:rsid w:val="136764DB"/>
    <w:rsid w:val="137E2663"/>
    <w:rsid w:val="13B61E8E"/>
    <w:rsid w:val="13C23A1B"/>
    <w:rsid w:val="13C72FD3"/>
    <w:rsid w:val="13C76244"/>
    <w:rsid w:val="13C82B02"/>
    <w:rsid w:val="13CF28FB"/>
    <w:rsid w:val="13DA7C15"/>
    <w:rsid w:val="13E001A9"/>
    <w:rsid w:val="13E905BF"/>
    <w:rsid w:val="13EA5E5F"/>
    <w:rsid w:val="140F27D6"/>
    <w:rsid w:val="14107AE9"/>
    <w:rsid w:val="14175E0A"/>
    <w:rsid w:val="141C258C"/>
    <w:rsid w:val="141F1BA5"/>
    <w:rsid w:val="142007B3"/>
    <w:rsid w:val="14254028"/>
    <w:rsid w:val="142A2204"/>
    <w:rsid w:val="14371C6A"/>
    <w:rsid w:val="144114C7"/>
    <w:rsid w:val="144349CA"/>
    <w:rsid w:val="14461DA9"/>
    <w:rsid w:val="14634805"/>
    <w:rsid w:val="1472255F"/>
    <w:rsid w:val="14782396"/>
    <w:rsid w:val="1479025D"/>
    <w:rsid w:val="148942E3"/>
    <w:rsid w:val="148B031E"/>
    <w:rsid w:val="148E2DB2"/>
    <w:rsid w:val="1492597B"/>
    <w:rsid w:val="14A75E60"/>
    <w:rsid w:val="14AC25B0"/>
    <w:rsid w:val="14AE0BED"/>
    <w:rsid w:val="14AF303C"/>
    <w:rsid w:val="14AF4133"/>
    <w:rsid w:val="14BA60B3"/>
    <w:rsid w:val="14BE55AD"/>
    <w:rsid w:val="14C355CD"/>
    <w:rsid w:val="14CD3D4D"/>
    <w:rsid w:val="14D4220A"/>
    <w:rsid w:val="14E13279"/>
    <w:rsid w:val="14E52CFF"/>
    <w:rsid w:val="14EC699A"/>
    <w:rsid w:val="14EF6AC5"/>
    <w:rsid w:val="1501033F"/>
    <w:rsid w:val="1502113A"/>
    <w:rsid w:val="150E5397"/>
    <w:rsid w:val="151308D4"/>
    <w:rsid w:val="1525202B"/>
    <w:rsid w:val="152704C0"/>
    <w:rsid w:val="15281376"/>
    <w:rsid w:val="152D5C4C"/>
    <w:rsid w:val="15414D8D"/>
    <w:rsid w:val="15422545"/>
    <w:rsid w:val="154F1A86"/>
    <w:rsid w:val="155B339E"/>
    <w:rsid w:val="156508EF"/>
    <w:rsid w:val="15693006"/>
    <w:rsid w:val="156A222E"/>
    <w:rsid w:val="15716A99"/>
    <w:rsid w:val="157177C3"/>
    <w:rsid w:val="1581047E"/>
    <w:rsid w:val="15895642"/>
    <w:rsid w:val="15A444EB"/>
    <w:rsid w:val="15A93017"/>
    <w:rsid w:val="15B0540D"/>
    <w:rsid w:val="15B10740"/>
    <w:rsid w:val="15B47AB3"/>
    <w:rsid w:val="15B7532E"/>
    <w:rsid w:val="15C84147"/>
    <w:rsid w:val="15CA017F"/>
    <w:rsid w:val="15D64DE0"/>
    <w:rsid w:val="15D71AD5"/>
    <w:rsid w:val="15DC38C2"/>
    <w:rsid w:val="15E40C88"/>
    <w:rsid w:val="15F23B4A"/>
    <w:rsid w:val="15FC08F6"/>
    <w:rsid w:val="16050CCE"/>
    <w:rsid w:val="160703EA"/>
    <w:rsid w:val="160F4041"/>
    <w:rsid w:val="1646133C"/>
    <w:rsid w:val="165931D9"/>
    <w:rsid w:val="1660404C"/>
    <w:rsid w:val="16682D3E"/>
    <w:rsid w:val="167046E9"/>
    <w:rsid w:val="167C0DF1"/>
    <w:rsid w:val="167E382D"/>
    <w:rsid w:val="168A2EA6"/>
    <w:rsid w:val="169A04A0"/>
    <w:rsid w:val="16A6304D"/>
    <w:rsid w:val="16D61758"/>
    <w:rsid w:val="16DC0535"/>
    <w:rsid w:val="16EE4509"/>
    <w:rsid w:val="16EF74E9"/>
    <w:rsid w:val="16F27D5E"/>
    <w:rsid w:val="170716B6"/>
    <w:rsid w:val="170A3ED8"/>
    <w:rsid w:val="1716576D"/>
    <w:rsid w:val="17241925"/>
    <w:rsid w:val="173D4671"/>
    <w:rsid w:val="1743129B"/>
    <w:rsid w:val="1748083E"/>
    <w:rsid w:val="17553F9F"/>
    <w:rsid w:val="175623CE"/>
    <w:rsid w:val="176538DA"/>
    <w:rsid w:val="177D6416"/>
    <w:rsid w:val="1794775D"/>
    <w:rsid w:val="17B0596B"/>
    <w:rsid w:val="17C376AD"/>
    <w:rsid w:val="17CB4905"/>
    <w:rsid w:val="17CF4183"/>
    <w:rsid w:val="17D01F3A"/>
    <w:rsid w:val="17DA01E6"/>
    <w:rsid w:val="17DB3BDE"/>
    <w:rsid w:val="17DC7DAF"/>
    <w:rsid w:val="17DF40F7"/>
    <w:rsid w:val="17F01ECF"/>
    <w:rsid w:val="180E3620"/>
    <w:rsid w:val="180E4FC5"/>
    <w:rsid w:val="18171331"/>
    <w:rsid w:val="183153AC"/>
    <w:rsid w:val="18396192"/>
    <w:rsid w:val="184A4BE3"/>
    <w:rsid w:val="185060EC"/>
    <w:rsid w:val="1853612C"/>
    <w:rsid w:val="185A42FA"/>
    <w:rsid w:val="18870C54"/>
    <w:rsid w:val="18882132"/>
    <w:rsid w:val="189D2207"/>
    <w:rsid w:val="18A45C40"/>
    <w:rsid w:val="18A57A6A"/>
    <w:rsid w:val="18A768A8"/>
    <w:rsid w:val="18CF7A5D"/>
    <w:rsid w:val="18D57338"/>
    <w:rsid w:val="18E21560"/>
    <w:rsid w:val="18E24F5C"/>
    <w:rsid w:val="18E63A9B"/>
    <w:rsid w:val="18E96032"/>
    <w:rsid w:val="18EC15F6"/>
    <w:rsid w:val="18EE62E8"/>
    <w:rsid w:val="18F96461"/>
    <w:rsid w:val="19116F8E"/>
    <w:rsid w:val="1914310D"/>
    <w:rsid w:val="193C66EC"/>
    <w:rsid w:val="19551A74"/>
    <w:rsid w:val="195F7D63"/>
    <w:rsid w:val="197C2433"/>
    <w:rsid w:val="198F37EF"/>
    <w:rsid w:val="19933139"/>
    <w:rsid w:val="19AC4F46"/>
    <w:rsid w:val="19D57461"/>
    <w:rsid w:val="19D96275"/>
    <w:rsid w:val="19E74602"/>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A5CDF"/>
    <w:rsid w:val="1A79617E"/>
    <w:rsid w:val="1A796C32"/>
    <w:rsid w:val="1A9853AE"/>
    <w:rsid w:val="1AB9028C"/>
    <w:rsid w:val="1AC56317"/>
    <w:rsid w:val="1AD6319E"/>
    <w:rsid w:val="1AF566DD"/>
    <w:rsid w:val="1B4A0A55"/>
    <w:rsid w:val="1B4B651F"/>
    <w:rsid w:val="1B585C3E"/>
    <w:rsid w:val="1B5C096F"/>
    <w:rsid w:val="1B777BC9"/>
    <w:rsid w:val="1B7D10D5"/>
    <w:rsid w:val="1B81532C"/>
    <w:rsid w:val="1B8D6B92"/>
    <w:rsid w:val="1B90327A"/>
    <w:rsid w:val="1B936CD6"/>
    <w:rsid w:val="1B9379C1"/>
    <w:rsid w:val="1B990279"/>
    <w:rsid w:val="1B9B4E1C"/>
    <w:rsid w:val="1B9C50E9"/>
    <w:rsid w:val="1BA04CC7"/>
    <w:rsid w:val="1BA24967"/>
    <w:rsid w:val="1BAA5FDD"/>
    <w:rsid w:val="1BAD4429"/>
    <w:rsid w:val="1BB80557"/>
    <w:rsid w:val="1BBC1606"/>
    <w:rsid w:val="1BBC1F56"/>
    <w:rsid w:val="1BD91A80"/>
    <w:rsid w:val="1BE641ED"/>
    <w:rsid w:val="1BE816A6"/>
    <w:rsid w:val="1BEA0388"/>
    <w:rsid w:val="1BEE30A8"/>
    <w:rsid w:val="1BF24F3D"/>
    <w:rsid w:val="1BFD5FA2"/>
    <w:rsid w:val="1C0B0B13"/>
    <w:rsid w:val="1C1208F1"/>
    <w:rsid w:val="1C17197B"/>
    <w:rsid w:val="1C1D36F1"/>
    <w:rsid w:val="1C291BAA"/>
    <w:rsid w:val="1C3730C8"/>
    <w:rsid w:val="1C386892"/>
    <w:rsid w:val="1C4A2683"/>
    <w:rsid w:val="1C5F292D"/>
    <w:rsid w:val="1C5F3B2B"/>
    <w:rsid w:val="1C631E26"/>
    <w:rsid w:val="1C7530BF"/>
    <w:rsid w:val="1C9167EE"/>
    <w:rsid w:val="1C916922"/>
    <w:rsid w:val="1C9A167C"/>
    <w:rsid w:val="1CA238F1"/>
    <w:rsid w:val="1CAC1596"/>
    <w:rsid w:val="1CB33715"/>
    <w:rsid w:val="1CBC5611"/>
    <w:rsid w:val="1CBD133C"/>
    <w:rsid w:val="1CC66919"/>
    <w:rsid w:val="1CD22EF6"/>
    <w:rsid w:val="1CD345C5"/>
    <w:rsid w:val="1CD7177C"/>
    <w:rsid w:val="1CE479B7"/>
    <w:rsid w:val="1CF005FD"/>
    <w:rsid w:val="1CF6531E"/>
    <w:rsid w:val="1CF73467"/>
    <w:rsid w:val="1D0B195E"/>
    <w:rsid w:val="1D243745"/>
    <w:rsid w:val="1D3570D5"/>
    <w:rsid w:val="1D4E0EB2"/>
    <w:rsid w:val="1D57445C"/>
    <w:rsid w:val="1D693FA7"/>
    <w:rsid w:val="1D7C63EB"/>
    <w:rsid w:val="1D7D6636"/>
    <w:rsid w:val="1D7F59C3"/>
    <w:rsid w:val="1D7F7370"/>
    <w:rsid w:val="1D8A400C"/>
    <w:rsid w:val="1D8F4E65"/>
    <w:rsid w:val="1DB553DF"/>
    <w:rsid w:val="1DBF1882"/>
    <w:rsid w:val="1DC70ACB"/>
    <w:rsid w:val="1DF17BE1"/>
    <w:rsid w:val="1DFC1393"/>
    <w:rsid w:val="1E1259E5"/>
    <w:rsid w:val="1E1C3D76"/>
    <w:rsid w:val="1E4719A3"/>
    <w:rsid w:val="1E5E2D02"/>
    <w:rsid w:val="1E5F1F97"/>
    <w:rsid w:val="1E685BCF"/>
    <w:rsid w:val="1E6C5F4E"/>
    <w:rsid w:val="1E800F1B"/>
    <w:rsid w:val="1E83119C"/>
    <w:rsid w:val="1E8E1E01"/>
    <w:rsid w:val="1E9D4347"/>
    <w:rsid w:val="1E9E304B"/>
    <w:rsid w:val="1EA65561"/>
    <w:rsid w:val="1EAD4127"/>
    <w:rsid w:val="1EB41D2D"/>
    <w:rsid w:val="1EB70BD9"/>
    <w:rsid w:val="1EB8797A"/>
    <w:rsid w:val="1EBF418B"/>
    <w:rsid w:val="1EBF505E"/>
    <w:rsid w:val="1EDA6C33"/>
    <w:rsid w:val="1EEB081F"/>
    <w:rsid w:val="1EEC719E"/>
    <w:rsid w:val="1EF370A6"/>
    <w:rsid w:val="1EF7018A"/>
    <w:rsid w:val="1EF93593"/>
    <w:rsid w:val="1F0242AA"/>
    <w:rsid w:val="1F044236"/>
    <w:rsid w:val="1F0B4ACE"/>
    <w:rsid w:val="1F0E46BB"/>
    <w:rsid w:val="1F25251D"/>
    <w:rsid w:val="1F2B5438"/>
    <w:rsid w:val="1F2C5E9D"/>
    <w:rsid w:val="1F377BCE"/>
    <w:rsid w:val="1F390590"/>
    <w:rsid w:val="1F3E2BDD"/>
    <w:rsid w:val="1F424A01"/>
    <w:rsid w:val="1F4C6748"/>
    <w:rsid w:val="1F595467"/>
    <w:rsid w:val="1F5B2F4F"/>
    <w:rsid w:val="1F5C06A1"/>
    <w:rsid w:val="1F8350EC"/>
    <w:rsid w:val="1F890898"/>
    <w:rsid w:val="1F896D6A"/>
    <w:rsid w:val="1FAE5474"/>
    <w:rsid w:val="1FB80942"/>
    <w:rsid w:val="1FBB5482"/>
    <w:rsid w:val="1FBC5A21"/>
    <w:rsid w:val="1FD473C2"/>
    <w:rsid w:val="1FF977BD"/>
    <w:rsid w:val="2001262E"/>
    <w:rsid w:val="200D0CA3"/>
    <w:rsid w:val="200D64BE"/>
    <w:rsid w:val="20153599"/>
    <w:rsid w:val="20172295"/>
    <w:rsid w:val="201B2789"/>
    <w:rsid w:val="20256516"/>
    <w:rsid w:val="20546C98"/>
    <w:rsid w:val="20584BED"/>
    <w:rsid w:val="208D3C12"/>
    <w:rsid w:val="20907BA5"/>
    <w:rsid w:val="20AA65A3"/>
    <w:rsid w:val="20CB0AB1"/>
    <w:rsid w:val="20D60AAE"/>
    <w:rsid w:val="20FE18CB"/>
    <w:rsid w:val="21061BA2"/>
    <w:rsid w:val="2121427E"/>
    <w:rsid w:val="21262CBA"/>
    <w:rsid w:val="212B1C97"/>
    <w:rsid w:val="21361FB5"/>
    <w:rsid w:val="214B3D89"/>
    <w:rsid w:val="214E3823"/>
    <w:rsid w:val="21575426"/>
    <w:rsid w:val="215C1F77"/>
    <w:rsid w:val="216956DC"/>
    <w:rsid w:val="2177769E"/>
    <w:rsid w:val="217D437D"/>
    <w:rsid w:val="2184758B"/>
    <w:rsid w:val="21D25FF2"/>
    <w:rsid w:val="21F52495"/>
    <w:rsid w:val="21F70210"/>
    <w:rsid w:val="22054661"/>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91610E"/>
    <w:rsid w:val="22923DE9"/>
    <w:rsid w:val="22962F20"/>
    <w:rsid w:val="22973417"/>
    <w:rsid w:val="229D5794"/>
    <w:rsid w:val="22A379E2"/>
    <w:rsid w:val="22A85F23"/>
    <w:rsid w:val="22C17DB5"/>
    <w:rsid w:val="22C629AC"/>
    <w:rsid w:val="22DD27AA"/>
    <w:rsid w:val="22E96F92"/>
    <w:rsid w:val="22FE0FF6"/>
    <w:rsid w:val="23060CEA"/>
    <w:rsid w:val="230D3451"/>
    <w:rsid w:val="230E5678"/>
    <w:rsid w:val="23210134"/>
    <w:rsid w:val="23257653"/>
    <w:rsid w:val="234022F3"/>
    <w:rsid w:val="23441FFA"/>
    <w:rsid w:val="234B3276"/>
    <w:rsid w:val="23773623"/>
    <w:rsid w:val="2377693D"/>
    <w:rsid w:val="23921869"/>
    <w:rsid w:val="23943633"/>
    <w:rsid w:val="239D39AC"/>
    <w:rsid w:val="239F724D"/>
    <w:rsid w:val="23AB1721"/>
    <w:rsid w:val="23E073EA"/>
    <w:rsid w:val="23EA577B"/>
    <w:rsid w:val="23EF0BE1"/>
    <w:rsid w:val="24002E5E"/>
    <w:rsid w:val="2401791F"/>
    <w:rsid w:val="240A022E"/>
    <w:rsid w:val="240A3AB2"/>
    <w:rsid w:val="24184673"/>
    <w:rsid w:val="24330154"/>
    <w:rsid w:val="24444377"/>
    <w:rsid w:val="2445130D"/>
    <w:rsid w:val="245A6743"/>
    <w:rsid w:val="246A08B9"/>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F0284D"/>
    <w:rsid w:val="24FF08CC"/>
    <w:rsid w:val="250A7DD1"/>
    <w:rsid w:val="250B627F"/>
    <w:rsid w:val="250E20E4"/>
    <w:rsid w:val="25120691"/>
    <w:rsid w:val="251B38EF"/>
    <w:rsid w:val="25202C91"/>
    <w:rsid w:val="252331A5"/>
    <w:rsid w:val="252733A0"/>
    <w:rsid w:val="25387E2E"/>
    <w:rsid w:val="25425A19"/>
    <w:rsid w:val="25437031"/>
    <w:rsid w:val="25490B3E"/>
    <w:rsid w:val="254F5042"/>
    <w:rsid w:val="2568016B"/>
    <w:rsid w:val="25695BEC"/>
    <w:rsid w:val="256F1A53"/>
    <w:rsid w:val="258B2F2B"/>
    <w:rsid w:val="258B31A0"/>
    <w:rsid w:val="25997A40"/>
    <w:rsid w:val="25AB3D1C"/>
    <w:rsid w:val="25AD773E"/>
    <w:rsid w:val="25C7728B"/>
    <w:rsid w:val="25D90A1B"/>
    <w:rsid w:val="25E22192"/>
    <w:rsid w:val="25E75557"/>
    <w:rsid w:val="25F332FF"/>
    <w:rsid w:val="25FE37D6"/>
    <w:rsid w:val="260D72CA"/>
    <w:rsid w:val="2620319C"/>
    <w:rsid w:val="26274BB6"/>
    <w:rsid w:val="26356536"/>
    <w:rsid w:val="264E2F62"/>
    <w:rsid w:val="26583CFB"/>
    <w:rsid w:val="265B4E67"/>
    <w:rsid w:val="266900A5"/>
    <w:rsid w:val="26880E9B"/>
    <w:rsid w:val="268B243A"/>
    <w:rsid w:val="269C627F"/>
    <w:rsid w:val="26A050C5"/>
    <w:rsid w:val="26AA20D3"/>
    <w:rsid w:val="26AB6FD3"/>
    <w:rsid w:val="26B43DCE"/>
    <w:rsid w:val="26C705B0"/>
    <w:rsid w:val="26D339DB"/>
    <w:rsid w:val="26DD3B73"/>
    <w:rsid w:val="26E11F56"/>
    <w:rsid w:val="26E576C7"/>
    <w:rsid w:val="26F04260"/>
    <w:rsid w:val="26F81EB4"/>
    <w:rsid w:val="26FB2F1B"/>
    <w:rsid w:val="27075A64"/>
    <w:rsid w:val="271E1C7E"/>
    <w:rsid w:val="272027C9"/>
    <w:rsid w:val="27257211"/>
    <w:rsid w:val="27310B9A"/>
    <w:rsid w:val="273E1C11"/>
    <w:rsid w:val="27511867"/>
    <w:rsid w:val="275265C3"/>
    <w:rsid w:val="275E4DA2"/>
    <w:rsid w:val="276A4438"/>
    <w:rsid w:val="276B112C"/>
    <w:rsid w:val="276C3578"/>
    <w:rsid w:val="27720735"/>
    <w:rsid w:val="27815619"/>
    <w:rsid w:val="2788691C"/>
    <w:rsid w:val="278903CC"/>
    <w:rsid w:val="278E3373"/>
    <w:rsid w:val="27996AAE"/>
    <w:rsid w:val="279E2679"/>
    <w:rsid w:val="279F554C"/>
    <w:rsid w:val="27B02B7C"/>
    <w:rsid w:val="27C869D0"/>
    <w:rsid w:val="27D077AB"/>
    <w:rsid w:val="27D65541"/>
    <w:rsid w:val="27EC5FCE"/>
    <w:rsid w:val="28135739"/>
    <w:rsid w:val="2841669A"/>
    <w:rsid w:val="28634544"/>
    <w:rsid w:val="286651CF"/>
    <w:rsid w:val="28671C46"/>
    <w:rsid w:val="2897657D"/>
    <w:rsid w:val="2899000A"/>
    <w:rsid w:val="28A028D3"/>
    <w:rsid w:val="28A56196"/>
    <w:rsid w:val="28AB19F4"/>
    <w:rsid w:val="28AF6CCE"/>
    <w:rsid w:val="28D71E0B"/>
    <w:rsid w:val="28DC39BE"/>
    <w:rsid w:val="28DC6898"/>
    <w:rsid w:val="28DD5BCB"/>
    <w:rsid w:val="28E01F8A"/>
    <w:rsid w:val="28EA3630"/>
    <w:rsid w:val="28F045AC"/>
    <w:rsid w:val="28F26258"/>
    <w:rsid w:val="290B3B64"/>
    <w:rsid w:val="291D583E"/>
    <w:rsid w:val="292D117C"/>
    <w:rsid w:val="294D204F"/>
    <w:rsid w:val="29602BC4"/>
    <w:rsid w:val="29870F2F"/>
    <w:rsid w:val="298F0A9C"/>
    <w:rsid w:val="299760C7"/>
    <w:rsid w:val="2999350D"/>
    <w:rsid w:val="299E7E78"/>
    <w:rsid w:val="29B66771"/>
    <w:rsid w:val="29B759BC"/>
    <w:rsid w:val="29BB777B"/>
    <w:rsid w:val="29C42F93"/>
    <w:rsid w:val="29D15BDF"/>
    <w:rsid w:val="29D222A8"/>
    <w:rsid w:val="29D60A95"/>
    <w:rsid w:val="29D94FA1"/>
    <w:rsid w:val="29DB09B9"/>
    <w:rsid w:val="29E31604"/>
    <w:rsid w:val="29F87E04"/>
    <w:rsid w:val="2A0475FF"/>
    <w:rsid w:val="2A06727F"/>
    <w:rsid w:val="2A0A04AA"/>
    <w:rsid w:val="2A1A7BC7"/>
    <w:rsid w:val="2A1F23A7"/>
    <w:rsid w:val="2A220C75"/>
    <w:rsid w:val="2A2D73EC"/>
    <w:rsid w:val="2A2E4CEB"/>
    <w:rsid w:val="2A3B565F"/>
    <w:rsid w:val="2A653259"/>
    <w:rsid w:val="2A793292"/>
    <w:rsid w:val="2A8F4841"/>
    <w:rsid w:val="2AA369DD"/>
    <w:rsid w:val="2AAF4F9A"/>
    <w:rsid w:val="2AB84B24"/>
    <w:rsid w:val="2AD06022"/>
    <w:rsid w:val="2AD63975"/>
    <w:rsid w:val="2ADD1B0D"/>
    <w:rsid w:val="2ADF2DC8"/>
    <w:rsid w:val="2AE64773"/>
    <w:rsid w:val="2AEC47FC"/>
    <w:rsid w:val="2AF1331E"/>
    <w:rsid w:val="2AF81BE3"/>
    <w:rsid w:val="2AF926C9"/>
    <w:rsid w:val="2AFA02A2"/>
    <w:rsid w:val="2AFF23A5"/>
    <w:rsid w:val="2B211DC0"/>
    <w:rsid w:val="2B320F6B"/>
    <w:rsid w:val="2B361003"/>
    <w:rsid w:val="2B3762A6"/>
    <w:rsid w:val="2B3C6641"/>
    <w:rsid w:val="2B5B0F6E"/>
    <w:rsid w:val="2B605B83"/>
    <w:rsid w:val="2B6526BF"/>
    <w:rsid w:val="2B925FDF"/>
    <w:rsid w:val="2B9970F1"/>
    <w:rsid w:val="2BB65D1D"/>
    <w:rsid w:val="2BC27506"/>
    <w:rsid w:val="2BDF6B05"/>
    <w:rsid w:val="2BE501C7"/>
    <w:rsid w:val="2BED2E55"/>
    <w:rsid w:val="2C0122C3"/>
    <w:rsid w:val="2C013BC2"/>
    <w:rsid w:val="2C112457"/>
    <w:rsid w:val="2C1738CF"/>
    <w:rsid w:val="2C1945D8"/>
    <w:rsid w:val="2C2217C9"/>
    <w:rsid w:val="2C3818C8"/>
    <w:rsid w:val="2C3F19D9"/>
    <w:rsid w:val="2C6C7918"/>
    <w:rsid w:val="2C783906"/>
    <w:rsid w:val="2C942C30"/>
    <w:rsid w:val="2C9B4E03"/>
    <w:rsid w:val="2CA57E78"/>
    <w:rsid w:val="2CA8507A"/>
    <w:rsid w:val="2CA952D4"/>
    <w:rsid w:val="2CB5787B"/>
    <w:rsid w:val="2CBF13A5"/>
    <w:rsid w:val="2CCA4381"/>
    <w:rsid w:val="2CD10A17"/>
    <w:rsid w:val="2CD30F03"/>
    <w:rsid w:val="2CF249BE"/>
    <w:rsid w:val="2CF85053"/>
    <w:rsid w:val="2CFC1554"/>
    <w:rsid w:val="2CFF3512"/>
    <w:rsid w:val="2D0B7148"/>
    <w:rsid w:val="2D17770B"/>
    <w:rsid w:val="2D1E469A"/>
    <w:rsid w:val="2D287789"/>
    <w:rsid w:val="2D2E332F"/>
    <w:rsid w:val="2D354DCA"/>
    <w:rsid w:val="2D3C3C89"/>
    <w:rsid w:val="2D4360F1"/>
    <w:rsid w:val="2D4C4C78"/>
    <w:rsid w:val="2D6E6943"/>
    <w:rsid w:val="2D7746A6"/>
    <w:rsid w:val="2D7E4AF7"/>
    <w:rsid w:val="2D8519AC"/>
    <w:rsid w:val="2D875411"/>
    <w:rsid w:val="2D87777E"/>
    <w:rsid w:val="2D8A7365"/>
    <w:rsid w:val="2D8D3550"/>
    <w:rsid w:val="2D8E349F"/>
    <w:rsid w:val="2D9469E6"/>
    <w:rsid w:val="2D9774DB"/>
    <w:rsid w:val="2D9D7A77"/>
    <w:rsid w:val="2D9F156C"/>
    <w:rsid w:val="2DAF78FF"/>
    <w:rsid w:val="2DD072B5"/>
    <w:rsid w:val="2DD93F77"/>
    <w:rsid w:val="2DDC2E60"/>
    <w:rsid w:val="2DDE7A41"/>
    <w:rsid w:val="2DE23D77"/>
    <w:rsid w:val="2DEF20F0"/>
    <w:rsid w:val="2E035A56"/>
    <w:rsid w:val="2E041306"/>
    <w:rsid w:val="2E0745C9"/>
    <w:rsid w:val="2E106E4C"/>
    <w:rsid w:val="2E131AC5"/>
    <w:rsid w:val="2E2A44CC"/>
    <w:rsid w:val="2E422716"/>
    <w:rsid w:val="2E4C211D"/>
    <w:rsid w:val="2E4D7F49"/>
    <w:rsid w:val="2E4E05E7"/>
    <w:rsid w:val="2E4E1129"/>
    <w:rsid w:val="2E5B5EA2"/>
    <w:rsid w:val="2E6446EB"/>
    <w:rsid w:val="2E7F0E61"/>
    <w:rsid w:val="2E7F686F"/>
    <w:rsid w:val="2E814EDA"/>
    <w:rsid w:val="2E870765"/>
    <w:rsid w:val="2E8D0791"/>
    <w:rsid w:val="2E9B04A6"/>
    <w:rsid w:val="2E9B39A1"/>
    <w:rsid w:val="2EA51AE7"/>
    <w:rsid w:val="2EA96F98"/>
    <w:rsid w:val="2EBA6279"/>
    <w:rsid w:val="2EBC045D"/>
    <w:rsid w:val="2ED87AE7"/>
    <w:rsid w:val="2EF46E83"/>
    <w:rsid w:val="2EF57EDD"/>
    <w:rsid w:val="2F047EE8"/>
    <w:rsid w:val="2F085C75"/>
    <w:rsid w:val="2F0E473E"/>
    <w:rsid w:val="2F116436"/>
    <w:rsid w:val="2F2B12A9"/>
    <w:rsid w:val="2F3440DE"/>
    <w:rsid w:val="2F3A4309"/>
    <w:rsid w:val="2F626907"/>
    <w:rsid w:val="2F633507"/>
    <w:rsid w:val="2F633B47"/>
    <w:rsid w:val="2F933A9E"/>
    <w:rsid w:val="2F956224"/>
    <w:rsid w:val="2F970E99"/>
    <w:rsid w:val="2FA00F7A"/>
    <w:rsid w:val="2FA23A7C"/>
    <w:rsid w:val="2FA30525"/>
    <w:rsid w:val="2FB449B9"/>
    <w:rsid w:val="2FC254E7"/>
    <w:rsid w:val="2FC73BC7"/>
    <w:rsid w:val="2FD33F66"/>
    <w:rsid w:val="2FD408E0"/>
    <w:rsid w:val="2FD46948"/>
    <w:rsid w:val="2FDB4A4D"/>
    <w:rsid w:val="2FE311E4"/>
    <w:rsid w:val="2FF608DC"/>
    <w:rsid w:val="2FFD3FAC"/>
    <w:rsid w:val="30032CF9"/>
    <w:rsid w:val="3004586C"/>
    <w:rsid w:val="30075FDB"/>
    <w:rsid w:val="30160ACC"/>
    <w:rsid w:val="301A3977"/>
    <w:rsid w:val="3045081F"/>
    <w:rsid w:val="30457CC8"/>
    <w:rsid w:val="305F666A"/>
    <w:rsid w:val="306825DD"/>
    <w:rsid w:val="30814620"/>
    <w:rsid w:val="30834BF9"/>
    <w:rsid w:val="308D5EB4"/>
    <w:rsid w:val="30944718"/>
    <w:rsid w:val="3094583F"/>
    <w:rsid w:val="30B95EAB"/>
    <w:rsid w:val="30C01078"/>
    <w:rsid w:val="30CF0FD9"/>
    <w:rsid w:val="30D23125"/>
    <w:rsid w:val="30F34FAE"/>
    <w:rsid w:val="30FA42EA"/>
    <w:rsid w:val="312476AC"/>
    <w:rsid w:val="31325585"/>
    <w:rsid w:val="3133127A"/>
    <w:rsid w:val="31353CD7"/>
    <w:rsid w:val="313E4128"/>
    <w:rsid w:val="313E620E"/>
    <w:rsid w:val="313E6CDE"/>
    <w:rsid w:val="314C32D2"/>
    <w:rsid w:val="315D0B0B"/>
    <w:rsid w:val="31727F68"/>
    <w:rsid w:val="31753E13"/>
    <w:rsid w:val="317662E9"/>
    <w:rsid w:val="31832D2D"/>
    <w:rsid w:val="31954796"/>
    <w:rsid w:val="319566E7"/>
    <w:rsid w:val="31962DAE"/>
    <w:rsid w:val="319F0073"/>
    <w:rsid w:val="31B56BB4"/>
    <w:rsid w:val="31B9498A"/>
    <w:rsid w:val="31EE25F8"/>
    <w:rsid w:val="31F462C5"/>
    <w:rsid w:val="32044DED"/>
    <w:rsid w:val="320C562E"/>
    <w:rsid w:val="32296F5A"/>
    <w:rsid w:val="32462A55"/>
    <w:rsid w:val="324B22D2"/>
    <w:rsid w:val="32575E9A"/>
    <w:rsid w:val="325C3AF5"/>
    <w:rsid w:val="326225B7"/>
    <w:rsid w:val="327A0FE8"/>
    <w:rsid w:val="32931C47"/>
    <w:rsid w:val="329F241C"/>
    <w:rsid w:val="329F684F"/>
    <w:rsid w:val="32B26B6D"/>
    <w:rsid w:val="32C30926"/>
    <w:rsid w:val="32C83002"/>
    <w:rsid w:val="32C92CF9"/>
    <w:rsid w:val="32CE05D8"/>
    <w:rsid w:val="32D44E75"/>
    <w:rsid w:val="32E72810"/>
    <w:rsid w:val="32F96ACA"/>
    <w:rsid w:val="330258B3"/>
    <w:rsid w:val="330428CD"/>
    <w:rsid w:val="33054642"/>
    <w:rsid w:val="33106E3B"/>
    <w:rsid w:val="332B5883"/>
    <w:rsid w:val="332C2B52"/>
    <w:rsid w:val="333E4968"/>
    <w:rsid w:val="334760AD"/>
    <w:rsid w:val="33597207"/>
    <w:rsid w:val="337E28B4"/>
    <w:rsid w:val="338F27B5"/>
    <w:rsid w:val="339461AC"/>
    <w:rsid w:val="33951969"/>
    <w:rsid w:val="339B5E01"/>
    <w:rsid w:val="33A31D7A"/>
    <w:rsid w:val="33C521FE"/>
    <w:rsid w:val="33D163EF"/>
    <w:rsid w:val="33D45DFD"/>
    <w:rsid w:val="33D622B7"/>
    <w:rsid w:val="33E11727"/>
    <w:rsid w:val="33E605A3"/>
    <w:rsid w:val="33E706E6"/>
    <w:rsid w:val="33F14703"/>
    <w:rsid w:val="33F7797D"/>
    <w:rsid w:val="3406027F"/>
    <w:rsid w:val="340C0F9D"/>
    <w:rsid w:val="3411487C"/>
    <w:rsid w:val="341E0B6A"/>
    <w:rsid w:val="34243449"/>
    <w:rsid w:val="342F05A9"/>
    <w:rsid w:val="34497B40"/>
    <w:rsid w:val="344F7E91"/>
    <w:rsid w:val="345B2367"/>
    <w:rsid w:val="3469060F"/>
    <w:rsid w:val="34797724"/>
    <w:rsid w:val="34812D29"/>
    <w:rsid w:val="348B5095"/>
    <w:rsid w:val="349C31F7"/>
    <w:rsid w:val="349E1E18"/>
    <w:rsid w:val="34A54544"/>
    <w:rsid w:val="34A5796A"/>
    <w:rsid w:val="34A85741"/>
    <w:rsid w:val="34AE0539"/>
    <w:rsid w:val="34BD4F1E"/>
    <w:rsid w:val="34C62452"/>
    <w:rsid w:val="34C65624"/>
    <w:rsid w:val="34CD5068"/>
    <w:rsid w:val="34CE2B5B"/>
    <w:rsid w:val="34E944F6"/>
    <w:rsid w:val="34E94AA0"/>
    <w:rsid w:val="34FF53FE"/>
    <w:rsid w:val="35072EAD"/>
    <w:rsid w:val="350960B1"/>
    <w:rsid w:val="35150114"/>
    <w:rsid w:val="351B6210"/>
    <w:rsid w:val="35217336"/>
    <w:rsid w:val="35290A77"/>
    <w:rsid w:val="352A0B4B"/>
    <w:rsid w:val="352C084C"/>
    <w:rsid w:val="35356F10"/>
    <w:rsid w:val="35371B3F"/>
    <w:rsid w:val="354840CB"/>
    <w:rsid w:val="35520D37"/>
    <w:rsid w:val="35524018"/>
    <w:rsid w:val="35577112"/>
    <w:rsid w:val="355C013C"/>
    <w:rsid w:val="3565420B"/>
    <w:rsid w:val="356A601B"/>
    <w:rsid w:val="356C0074"/>
    <w:rsid w:val="3570454A"/>
    <w:rsid w:val="3572634E"/>
    <w:rsid w:val="3583595D"/>
    <w:rsid w:val="35841013"/>
    <w:rsid w:val="358B79C9"/>
    <w:rsid w:val="358C5CCB"/>
    <w:rsid w:val="359A00B9"/>
    <w:rsid w:val="35C73445"/>
    <w:rsid w:val="35EE2B08"/>
    <w:rsid w:val="35F853BB"/>
    <w:rsid w:val="35F91A43"/>
    <w:rsid w:val="35FB1676"/>
    <w:rsid w:val="36033620"/>
    <w:rsid w:val="36133D69"/>
    <w:rsid w:val="361526DE"/>
    <w:rsid w:val="36225127"/>
    <w:rsid w:val="36237E20"/>
    <w:rsid w:val="36286678"/>
    <w:rsid w:val="363803C7"/>
    <w:rsid w:val="364542F2"/>
    <w:rsid w:val="3646059A"/>
    <w:rsid w:val="365607BB"/>
    <w:rsid w:val="367620D2"/>
    <w:rsid w:val="3689139F"/>
    <w:rsid w:val="369608CE"/>
    <w:rsid w:val="369B0A76"/>
    <w:rsid w:val="369B2954"/>
    <w:rsid w:val="36C1037B"/>
    <w:rsid w:val="36C739BA"/>
    <w:rsid w:val="36C82372"/>
    <w:rsid w:val="36D067A6"/>
    <w:rsid w:val="36DF16B9"/>
    <w:rsid w:val="36EF0F55"/>
    <w:rsid w:val="37070D11"/>
    <w:rsid w:val="370C03C2"/>
    <w:rsid w:val="37201F64"/>
    <w:rsid w:val="373F53DD"/>
    <w:rsid w:val="375948AC"/>
    <w:rsid w:val="375B6281"/>
    <w:rsid w:val="376B28D6"/>
    <w:rsid w:val="376C5D00"/>
    <w:rsid w:val="376E276D"/>
    <w:rsid w:val="3773054F"/>
    <w:rsid w:val="37872023"/>
    <w:rsid w:val="37911AD0"/>
    <w:rsid w:val="37A04E93"/>
    <w:rsid w:val="37AA4F18"/>
    <w:rsid w:val="37B74D55"/>
    <w:rsid w:val="37DC0CC4"/>
    <w:rsid w:val="37DF54A6"/>
    <w:rsid w:val="37EA0A17"/>
    <w:rsid w:val="37F10B6F"/>
    <w:rsid w:val="37F510CB"/>
    <w:rsid w:val="380A7603"/>
    <w:rsid w:val="380B0BB2"/>
    <w:rsid w:val="380D32F1"/>
    <w:rsid w:val="380D5D0D"/>
    <w:rsid w:val="38240D05"/>
    <w:rsid w:val="3825549B"/>
    <w:rsid w:val="382F2C1E"/>
    <w:rsid w:val="383B271A"/>
    <w:rsid w:val="384D78BB"/>
    <w:rsid w:val="385122F2"/>
    <w:rsid w:val="38716CD9"/>
    <w:rsid w:val="387415AD"/>
    <w:rsid w:val="38801C6C"/>
    <w:rsid w:val="388075BE"/>
    <w:rsid w:val="3885160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3207C"/>
    <w:rsid w:val="394B37F2"/>
    <w:rsid w:val="39532C2F"/>
    <w:rsid w:val="39985F30"/>
    <w:rsid w:val="39A52F17"/>
    <w:rsid w:val="39D3500A"/>
    <w:rsid w:val="39D96419"/>
    <w:rsid w:val="39E55169"/>
    <w:rsid w:val="39E84553"/>
    <w:rsid w:val="39E861B5"/>
    <w:rsid w:val="39F4018B"/>
    <w:rsid w:val="39F72E22"/>
    <w:rsid w:val="3A094E52"/>
    <w:rsid w:val="3A164EE9"/>
    <w:rsid w:val="3A174971"/>
    <w:rsid w:val="3A233308"/>
    <w:rsid w:val="3A273045"/>
    <w:rsid w:val="3A3E4729"/>
    <w:rsid w:val="3A476F2A"/>
    <w:rsid w:val="3A4C35D0"/>
    <w:rsid w:val="3A654202"/>
    <w:rsid w:val="3A675D63"/>
    <w:rsid w:val="3A684EE0"/>
    <w:rsid w:val="3A6C14CD"/>
    <w:rsid w:val="3A987DF1"/>
    <w:rsid w:val="3A9F7948"/>
    <w:rsid w:val="3AA02CE4"/>
    <w:rsid w:val="3AA628ED"/>
    <w:rsid w:val="3AAC6356"/>
    <w:rsid w:val="3AB23C38"/>
    <w:rsid w:val="3ABA4B72"/>
    <w:rsid w:val="3AC76FD5"/>
    <w:rsid w:val="3ACE1617"/>
    <w:rsid w:val="3AD31906"/>
    <w:rsid w:val="3AD76819"/>
    <w:rsid w:val="3AD969F8"/>
    <w:rsid w:val="3AF40348"/>
    <w:rsid w:val="3AFD1BC4"/>
    <w:rsid w:val="3B17529D"/>
    <w:rsid w:val="3B3368FE"/>
    <w:rsid w:val="3B356D77"/>
    <w:rsid w:val="3B3B2CBA"/>
    <w:rsid w:val="3B4C622A"/>
    <w:rsid w:val="3B624FFE"/>
    <w:rsid w:val="3B6A7A40"/>
    <w:rsid w:val="3B720C16"/>
    <w:rsid w:val="3B7F36AC"/>
    <w:rsid w:val="3B822235"/>
    <w:rsid w:val="3B861D2E"/>
    <w:rsid w:val="3B8E0546"/>
    <w:rsid w:val="3BC25680"/>
    <w:rsid w:val="3BCC25A9"/>
    <w:rsid w:val="3BCF352E"/>
    <w:rsid w:val="3BD34132"/>
    <w:rsid w:val="3BD653F5"/>
    <w:rsid w:val="3BDB3703"/>
    <w:rsid w:val="3BE16ECF"/>
    <w:rsid w:val="3BE7142E"/>
    <w:rsid w:val="3BFF6F27"/>
    <w:rsid w:val="3C095928"/>
    <w:rsid w:val="3C211965"/>
    <w:rsid w:val="3C3209A4"/>
    <w:rsid w:val="3C356755"/>
    <w:rsid w:val="3C365282"/>
    <w:rsid w:val="3C4B0ED5"/>
    <w:rsid w:val="3C8F5B6A"/>
    <w:rsid w:val="3C9C28DE"/>
    <w:rsid w:val="3CA91418"/>
    <w:rsid w:val="3CB064E9"/>
    <w:rsid w:val="3CBC1B56"/>
    <w:rsid w:val="3CBD75BF"/>
    <w:rsid w:val="3CC33BCC"/>
    <w:rsid w:val="3CD15DA5"/>
    <w:rsid w:val="3CD641A1"/>
    <w:rsid w:val="3CD71CB8"/>
    <w:rsid w:val="3CD97DC0"/>
    <w:rsid w:val="3CE2490A"/>
    <w:rsid w:val="3CEA648A"/>
    <w:rsid w:val="3CF036C8"/>
    <w:rsid w:val="3D0772FE"/>
    <w:rsid w:val="3D0E3159"/>
    <w:rsid w:val="3D146985"/>
    <w:rsid w:val="3D1502D9"/>
    <w:rsid w:val="3D46422A"/>
    <w:rsid w:val="3D555673"/>
    <w:rsid w:val="3D5657CC"/>
    <w:rsid w:val="3D5D2E26"/>
    <w:rsid w:val="3D6C09D0"/>
    <w:rsid w:val="3D71233A"/>
    <w:rsid w:val="3D876DDA"/>
    <w:rsid w:val="3D895D82"/>
    <w:rsid w:val="3D8E5ECA"/>
    <w:rsid w:val="3D902DB0"/>
    <w:rsid w:val="3DA24B18"/>
    <w:rsid w:val="3DA86637"/>
    <w:rsid w:val="3DAE0540"/>
    <w:rsid w:val="3DB21166"/>
    <w:rsid w:val="3DB52FFB"/>
    <w:rsid w:val="3DB932B8"/>
    <w:rsid w:val="3DBA2148"/>
    <w:rsid w:val="3DBA37DD"/>
    <w:rsid w:val="3DCC7E1D"/>
    <w:rsid w:val="3DDF3C84"/>
    <w:rsid w:val="3DF55B8D"/>
    <w:rsid w:val="3DF740D2"/>
    <w:rsid w:val="3DFB283E"/>
    <w:rsid w:val="3DFB4FDE"/>
    <w:rsid w:val="3E1B0B74"/>
    <w:rsid w:val="3E2942BE"/>
    <w:rsid w:val="3E300439"/>
    <w:rsid w:val="3E320B89"/>
    <w:rsid w:val="3E3906BC"/>
    <w:rsid w:val="3E4707A5"/>
    <w:rsid w:val="3E49293D"/>
    <w:rsid w:val="3E5111EB"/>
    <w:rsid w:val="3E5648B2"/>
    <w:rsid w:val="3E593782"/>
    <w:rsid w:val="3E684241"/>
    <w:rsid w:val="3E6E2D15"/>
    <w:rsid w:val="3E75521D"/>
    <w:rsid w:val="3E83245B"/>
    <w:rsid w:val="3E8412E9"/>
    <w:rsid w:val="3E8F10CC"/>
    <w:rsid w:val="3E9328AF"/>
    <w:rsid w:val="3E9571B9"/>
    <w:rsid w:val="3EB1094A"/>
    <w:rsid w:val="3EBC27E6"/>
    <w:rsid w:val="3EDA442A"/>
    <w:rsid w:val="3EDA559F"/>
    <w:rsid w:val="3EDC10D0"/>
    <w:rsid w:val="3EE10368"/>
    <w:rsid w:val="3EF13BC7"/>
    <w:rsid w:val="3EF53D00"/>
    <w:rsid w:val="3EFA30C8"/>
    <w:rsid w:val="3EFB495F"/>
    <w:rsid w:val="3EFD36E5"/>
    <w:rsid w:val="3EFE4E31"/>
    <w:rsid w:val="3F066B6D"/>
    <w:rsid w:val="3F0C4369"/>
    <w:rsid w:val="3F0F6D90"/>
    <w:rsid w:val="3F1251CD"/>
    <w:rsid w:val="3F2E3EB1"/>
    <w:rsid w:val="3F2F53AA"/>
    <w:rsid w:val="3F3E0AC5"/>
    <w:rsid w:val="3F5D2E4D"/>
    <w:rsid w:val="3F5E7CFF"/>
    <w:rsid w:val="3F5F1F5C"/>
    <w:rsid w:val="3F6A5EE0"/>
    <w:rsid w:val="3F8A14CB"/>
    <w:rsid w:val="3F9E0865"/>
    <w:rsid w:val="3FA5009E"/>
    <w:rsid w:val="3FB86017"/>
    <w:rsid w:val="3FC962B1"/>
    <w:rsid w:val="3FD50D82"/>
    <w:rsid w:val="3FDB1475"/>
    <w:rsid w:val="3FDE5AD9"/>
    <w:rsid w:val="3FE06AEB"/>
    <w:rsid w:val="3FE56AF2"/>
    <w:rsid w:val="3FF15942"/>
    <w:rsid w:val="400739DE"/>
    <w:rsid w:val="401C7BD5"/>
    <w:rsid w:val="402417C8"/>
    <w:rsid w:val="40372073"/>
    <w:rsid w:val="40396BF8"/>
    <w:rsid w:val="403E6346"/>
    <w:rsid w:val="404F52A8"/>
    <w:rsid w:val="408753EB"/>
    <w:rsid w:val="40B6211F"/>
    <w:rsid w:val="40C2573C"/>
    <w:rsid w:val="40CA7DEF"/>
    <w:rsid w:val="40CE13E2"/>
    <w:rsid w:val="40D34024"/>
    <w:rsid w:val="40D43BA0"/>
    <w:rsid w:val="40DC106D"/>
    <w:rsid w:val="40E241CE"/>
    <w:rsid w:val="40EA78D7"/>
    <w:rsid w:val="40F90C23"/>
    <w:rsid w:val="410427B6"/>
    <w:rsid w:val="410E3E35"/>
    <w:rsid w:val="412912D7"/>
    <w:rsid w:val="413262C6"/>
    <w:rsid w:val="41366B89"/>
    <w:rsid w:val="41424C8E"/>
    <w:rsid w:val="41522AA3"/>
    <w:rsid w:val="415A3828"/>
    <w:rsid w:val="41643D6B"/>
    <w:rsid w:val="41771599"/>
    <w:rsid w:val="417A1383"/>
    <w:rsid w:val="41A04E11"/>
    <w:rsid w:val="41B119D5"/>
    <w:rsid w:val="41B53EC8"/>
    <w:rsid w:val="41B85F14"/>
    <w:rsid w:val="41BF7182"/>
    <w:rsid w:val="41D33655"/>
    <w:rsid w:val="41DB0F0D"/>
    <w:rsid w:val="41E64F8A"/>
    <w:rsid w:val="41F01FFD"/>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5B7242"/>
    <w:rsid w:val="425F740A"/>
    <w:rsid w:val="427A44C2"/>
    <w:rsid w:val="42880654"/>
    <w:rsid w:val="428D14EF"/>
    <w:rsid w:val="4296187E"/>
    <w:rsid w:val="42A65AF0"/>
    <w:rsid w:val="42AD56C6"/>
    <w:rsid w:val="42E17B48"/>
    <w:rsid w:val="42E874D3"/>
    <w:rsid w:val="42F300EE"/>
    <w:rsid w:val="42FF71DC"/>
    <w:rsid w:val="42FF7548"/>
    <w:rsid w:val="432B1FC3"/>
    <w:rsid w:val="43453FEA"/>
    <w:rsid w:val="434D155D"/>
    <w:rsid w:val="435E53D9"/>
    <w:rsid w:val="436454E1"/>
    <w:rsid w:val="437A0D2C"/>
    <w:rsid w:val="438607EE"/>
    <w:rsid w:val="43911F91"/>
    <w:rsid w:val="4394491A"/>
    <w:rsid w:val="43984FD6"/>
    <w:rsid w:val="43997A97"/>
    <w:rsid w:val="43A2197F"/>
    <w:rsid w:val="43A5310A"/>
    <w:rsid w:val="43BD5DE5"/>
    <w:rsid w:val="43D65E39"/>
    <w:rsid w:val="43D6606E"/>
    <w:rsid w:val="43D70B4F"/>
    <w:rsid w:val="43E176EB"/>
    <w:rsid w:val="43FE3B45"/>
    <w:rsid w:val="440E72B6"/>
    <w:rsid w:val="441111D7"/>
    <w:rsid w:val="441303B5"/>
    <w:rsid w:val="441B2D48"/>
    <w:rsid w:val="441D0D39"/>
    <w:rsid w:val="444C64B0"/>
    <w:rsid w:val="444D54BA"/>
    <w:rsid w:val="44524527"/>
    <w:rsid w:val="44742FDB"/>
    <w:rsid w:val="447B4066"/>
    <w:rsid w:val="44861641"/>
    <w:rsid w:val="4496054C"/>
    <w:rsid w:val="449D508C"/>
    <w:rsid w:val="44AC00B9"/>
    <w:rsid w:val="44B15AF7"/>
    <w:rsid w:val="44B36E39"/>
    <w:rsid w:val="44CB2074"/>
    <w:rsid w:val="44DE20FB"/>
    <w:rsid w:val="44DF3D8B"/>
    <w:rsid w:val="44E32791"/>
    <w:rsid w:val="44EA5165"/>
    <w:rsid w:val="44EC7013"/>
    <w:rsid w:val="44F02519"/>
    <w:rsid w:val="44F85B4A"/>
    <w:rsid w:val="44FB3AE3"/>
    <w:rsid w:val="44FF3C64"/>
    <w:rsid w:val="45061393"/>
    <w:rsid w:val="450A44F7"/>
    <w:rsid w:val="453411E9"/>
    <w:rsid w:val="45353B4F"/>
    <w:rsid w:val="453B7947"/>
    <w:rsid w:val="453C63BD"/>
    <w:rsid w:val="45427AA4"/>
    <w:rsid w:val="454D3BBD"/>
    <w:rsid w:val="45515DC5"/>
    <w:rsid w:val="4553128E"/>
    <w:rsid w:val="455454A2"/>
    <w:rsid w:val="45564CA5"/>
    <w:rsid w:val="455B6233"/>
    <w:rsid w:val="456A6A48"/>
    <w:rsid w:val="456C211B"/>
    <w:rsid w:val="45751837"/>
    <w:rsid w:val="457C3D14"/>
    <w:rsid w:val="45865E2C"/>
    <w:rsid w:val="45911A43"/>
    <w:rsid w:val="45A16423"/>
    <w:rsid w:val="45A24E61"/>
    <w:rsid w:val="45B375E6"/>
    <w:rsid w:val="45B457B5"/>
    <w:rsid w:val="45B70D57"/>
    <w:rsid w:val="45DE2657"/>
    <w:rsid w:val="45F10EC5"/>
    <w:rsid w:val="45F95B5C"/>
    <w:rsid w:val="460F4303"/>
    <w:rsid w:val="46295027"/>
    <w:rsid w:val="462E7E70"/>
    <w:rsid w:val="463144E8"/>
    <w:rsid w:val="463C1AC9"/>
    <w:rsid w:val="464442C4"/>
    <w:rsid w:val="464D55E6"/>
    <w:rsid w:val="464E687C"/>
    <w:rsid w:val="4657560E"/>
    <w:rsid w:val="466317E7"/>
    <w:rsid w:val="466E3CCD"/>
    <w:rsid w:val="4676381B"/>
    <w:rsid w:val="467744FD"/>
    <w:rsid w:val="467941F6"/>
    <w:rsid w:val="469559DB"/>
    <w:rsid w:val="469F5468"/>
    <w:rsid w:val="46A746F1"/>
    <w:rsid w:val="46A9603F"/>
    <w:rsid w:val="46AF30F0"/>
    <w:rsid w:val="46C42B9E"/>
    <w:rsid w:val="46D046FE"/>
    <w:rsid w:val="46E12276"/>
    <w:rsid w:val="46F03580"/>
    <w:rsid w:val="46F51A7F"/>
    <w:rsid w:val="4706377B"/>
    <w:rsid w:val="47140188"/>
    <w:rsid w:val="4714637D"/>
    <w:rsid w:val="471F4E9D"/>
    <w:rsid w:val="47261812"/>
    <w:rsid w:val="47280D0D"/>
    <w:rsid w:val="4745087C"/>
    <w:rsid w:val="47541F31"/>
    <w:rsid w:val="475F0C6A"/>
    <w:rsid w:val="476063A8"/>
    <w:rsid w:val="476B7898"/>
    <w:rsid w:val="47700B34"/>
    <w:rsid w:val="47736CA5"/>
    <w:rsid w:val="477A6B40"/>
    <w:rsid w:val="47862D65"/>
    <w:rsid w:val="479B7487"/>
    <w:rsid w:val="47B32E9C"/>
    <w:rsid w:val="47C3064B"/>
    <w:rsid w:val="47CA145E"/>
    <w:rsid w:val="47CA7FD6"/>
    <w:rsid w:val="47E00BD8"/>
    <w:rsid w:val="48020130"/>
    <w:rsid w:val="480B19F6"/>
    <w:rsid w:val="48212AE9"/>
    <w:rsid w:val="482728EE"/>
    <w:rsid w:val="485C2B97"/>
    <w:rsid w:val="486C4CE7"/>
    <w:rsid w:val="48782345"/>
    <w:rsid w:val="489713C3"/>
    <w:rsid w:val="48A262B1"/>
    <w:rsid w:val="48A61EC2"/>
    <w:rsid w:val="48A91244"/>
    <w:rsid w:val="48BA3284"/>
    <w:rsid w:val="48CB1CC0"/>
    <w:rsid w:val="49013C23"/>
    <w:rsid w:val="490A52ED"/>
    <w:rsid w:val="49121BEA"/>
    <w:rsid w:val="49163580"/>
    <w:rsid w:val="491E6E1E"/>
    <w:rsid w:val="491F7F64"/>
    <w:rsid w:val="492A1BD4"/>
    <w:rsid w:val="494552C4"/>
    <w:rsid w:val="494B4C4F"/>
    <w:rsid w:val="49582843"/>
    <w:rsid w:val="49733467"/>
    <w:rsid w:val="498B21B5"/>
    <w:rsid w:val="499872CD"/>
    <w:rsid w:val="49997039"/>
    <w:rsid w:val="49A418F2"/>
    <w:rsid w:val="49B73A15"/>
    <w:rsid w:val="49B947C8"/>
    <w:rsid w:val="49C8100A"/>
    <w:rsid w:val="49C91C9A"/>
    <w:rsid w:val="49E70C5B"/>
    <w:rsid w:val="49EC0159"/>
    <w:rsid w:val="49FF2037"/>
    <w:rsid w:val="4A0A7F62"/>
    <w:rsid w:val="4A143C42"/>
    <w:rsid w:val="4A1D00AC"/>
    <w:rsid w:val="4A270A04"/>
    <w:rsid w:val="4A414188"/>
    <w:rsid w:val="4A47591B"/>
    <w:rsid w:val="4A4C4C82"/>
    <w:rsid w:val="4A6F608D"/>
    <w:rsid w:val="4A712069"/>
    <w:rsid w:val="4A727A89"/>
    <w:rsid w:val="4A7346BA"/>
    <w:rsid w:val="4A885CE1"/>
    <w:rsid w:val="4A8D6109"/>
    <w:rsid w:val="4A9452E5"/>
    <w:rsid w:val="4A9F2D3A"/>
    <w:rsid w:val="4A9F49CA"/>
    <w:rsid w:val="4AA8466E"/>
    <w:rsid w:val="4ABE4F66"/>
    <w:rsid w:val="4ABF0894"/>
    <w:rsid w:val="4ACA50C0"/>
    <w:rsid w:val="4ACB1EEA"/>
    <w:rsid w:val="4ACB6941"/>
    <w:rsid w:val="4ADB4E28"/>
    <w:rsid w:val="4AF16114"/>
    <w:rsid w:val="4AF51588"/>
    <w:rsid w:val="4AF75899"/>
    <w:rsid w:val="4AFA71F1"/>
    <w:rsid w:val="4B170E1E"/>
    <w:rsid w:val="4B1A46C6"/>
    <w:rsid w:val="4B2517BD"/>
    <w:rsid w:val="4B2C35A3"/>
    <w:rsid w:val="4B333D7A"/>
    <w:rsid w:val="4B3422A0"/>
    <w:rsid w:val="4B3756F4"/>
    <w:rsid w:val="4B3D3D17"/>
    <w:rsid w:val="4B4D3A8C"/>
    <w:rsid w:val="4B5523AC"/>
    <w:rsid w:val="4B637BDF"/>
    <w:rsid w:val="4B946474"/>
    <w:rsid w:val="4BAC0F36"/>
    <w:rsid w:val="4BAD664B"/>
    <w:rsid w:val="4BAF3A38"/>
    <w:rsid w:val="4BB11B3A"/>
    <w:rsid w:val="4BB31E0A"/>
    <w:rsid w:val="4BC71F16"/>
    <w:rsid w:val="4BC74E08"/>
    <w:rsid w:val="4BCA04E6"/>
    <w:rsid w:val="4BD07997"/>
    <w:rsid w:val="4BD340CB"/>
    <w:rsid w:val="4BDF3E16"/>
    <w:rsid w:val="4BFC6546"/>
    <w:rsid w:val="4BFD7185"/>
    <w:rsid w:val="4C1003D8"/>
    <w:rsid w:val="4C1E5E77"/>
    <w:rsid w:val="4C352DA8"/>
    <w:rsid w:val="4C366477"/>
    <w:rsid w:val="4C38466F"/>
    <w:rsid w:val="4C3F26D9"/>
    <w:rsid w:val="4C5237AB"/>
    <w:rsid w:val="4C6F66E5"/>
    <w:rsid w:val="4C786851"/>
    <w:rsid w:val="4C804791"/>
    <w:rsid w:val="4C8D6069"/>
    <w:rsid w:val="4C942881"/>
    <w:rsid w:val="4CAF266F"/>
    <w:rsid w:val="4CB53967"/>
    <w:rsid w:val="4CB84644"/>
    <w:rsid w:val="4CC13ECD"/>
    <w:rsid w:val="4CD020F9"/>
    <w:rsid w:val="4CD53C2C"/>
    <w:rsid w:val="4D0B17EF"/>
    <w:rsid w:val="4D0E4802"/>
    <w:rsid w:val="4D1A110D"/>
    <w:rsid w:val="4D2F7723"/>
    <w:rsid w:val="4D337AB8"/>
    <w:rsid w:val="4D406BD1"/>
    <w:rsid w:val="4D5047B5"/>
    <w:rsid w:val="4D536CE8"/>
    <w:rsid w:val="4D605A45"/>
    <w:rsid w:val="4D63697D"/>
    <w:rsid w:val="4D76573F"/>
    <w:rsid w:val="4D786A89"/>
    <w:rsid w:val="4D7C07CD"/>
    <w:rsid w:val="4D831E51"/>
    <w:rsid w:val="4DA02384"/>
    <w:rsid w:val="4DA44E4F"/>
    <w:rsid w:val="4DAC067B"/>
    <w:rsid w:val="4DB33889"/>
    <w:rsid w:val="4DBF3E19"/>
    <w:rsid w:val="4DCE74AD"/>
    <w:rsid w:val="4DF31EEA"/>
    <w:rsid w:val="4DF37D3C"/>
    <w:rsid w:val="4DF521AC"/>
    <w:rsid w:val="4E0A2800"/>
    <w:rsid w:val="4E0D58C8"/>
    <w:rsid w:val="4E3162AA"/>
    <w:rsid w:val="4E324158"/>
    <w:rsid w:val="4E3D6F61"/>
    <w:rsid w:val="4E5079C5"/>
    <w:rsid w:val="4E623BD3"/>
    <w:rsid w:val="4E6B77B5"/>
    <w:rsid w:val="4E7906E7"/>
    <w:rsid w:val="4E837C45"/>
    <w:rsid w:val="4E901205"/>
    <w:rsid w:val="4E993495"/>
    <w:rsid w:val="4EA30D9D"/>
    <w:rsid w:val="4EA31AE4"/>
    <w:rsid w:val="4EB2058C"/>
    <w:rsid w:val="4EB60C48"/>
    <w:rsid w:val="4EC56995"/>
    <w:rsid w:val="4ED82367"/>
    <w:rsid w:val="4EDE147E"/>
    <w:rsid w:val="4EEA3967"/>
    <w:rsid w:val="4EEF1B44"/>
    <w:rsid w:val="4EFC389E"/>
    <w:rsid w:val="4F0A27C3"/>
    <w:rsid w:val="4F0F005F"/>
    <w:rsid w:val="4F165D52"/>
    <w:rsid w:val="4F1B36C1"/>
    <w:rsid w:val="4F1D369F"/>
    <w:rsid w:val="4F213A90"/>
    <w:rsid w:val="4F290247"/>
    <w:rsid w:val="4F323CD2"/>
    <w:rsid w:val="4F332C0A"/>
    <w:rsid w:val="4F433DC8"/>
    <w:rsid w:val="4F473A60"/>
    <w:rsid w:val="4F4B51A5"/>
    <w:rsid w:val="4F5328A1"/>
    <w:rsid w:val="4F545D86"/>
    <w:rsid w:val="4F7E18D0"/>
    <w:rsid w:val="4F813B2E"/>
    <w:rsid w:val="4F871206"/>
    <w:rsid w:val="4F9B5FF9"/>
    <w:rsid w:val="4FA14EEC"/>
    <w:rsid w:val="4FA407B6"/>
    <w:rsid w:val="4FA84227"/>
    <w:rsid w:val="4FAF6B47"/>
    <w:rsid w:val="4FBF4BE3"/>
    <w:rsid w:val="4FC231DA"/>
    <w:rsid w:val="4FC3075F"/>
    <w:rsid w:val="4FE223EE"/>
    <w:rsid w:val="4FE3097A"/>
    <w:rsid w:val="4FFD3A77"/>
    <w:rsid w:val="4FFD46C8"/>
    <w:rsid w:val="50020B50"/>
    <w:rsid w:val="501F4F53"/>
    <w:rsid w:val="501F59A7"/>
    <w:rsid w:val="50290A0F"/>
    <w:rsid w:val="503642D7"/>
    <w:rsid w:val="503D3F59"/>
    <w:rsid w:val="50527440"/>
    <w:rsid w:val="50650862"/>
    <w:rsid w:val="50681179"/>
    <w:rsid w:val="50737B8A"/>
    <w:rsid w:val="5095674A"/>
    <w:rsid w:val="509A584B"/>
    <w:rsid w:val="50A01EE7"/>
    <w:rsid w:val="50A6221C"/>
    <w:rsid w:val="50AC4C20"/>
    <w:rsid w:val="50B61B8B"/>
    <w:rsid w:val="50B928D0"/>
    <w:rsid w:val="50C13C5F"/>
    <w:rsid w:val="50C15C83"/>
    <w:rsid w:val="50C16C1C"/>
    <w:rsid w:val="50C577D9"/>
    <w:rsid w:val="50E00158"/>
    <w:rsid w:val="50E8434B"/>
    <w:rsid w:val="50F0291C"/>
    <w:rsid w:val="50F5073D"/>
    <w:rsid w:val="510703FD"/>
    <w:rsid w:val="51183F80"/>
    <w:rsid w:val="51201CFF"/>
    <w:rsid w:val="5128521D"/>
    <w:rsid w:val="51286AE9"/>
    <w:rsid w:val="514C5F8F"/>
    <w:rsid w:val="51617293"/>
    <w:rsid w:val="516C5BB7"/>
    <w:rsid w:val="517A4EB9"/>
    <w:rsid w:val="51881606"/>
    <w:rsid w:val="518E2820"/>
    <w:rsid w:val="51915172"/>
    <w:rsid w:val="51AC5137"/>
    <w:rsid w:val="51AD6837"/>
    <w:rsid w:val="51B463DB"/>
    <w:rsid w:val="51B6149B"/>
    <w:rsid w:val="51C31254"/>
    <w:rsid w:val="51C979DD"/>
    <w:rsid w:val="51E03964"/>
    <w:rsid w:val="520A22AE"/>
    <w:rsid w:val="520D1EAA"/>
    <w:rsid w:val="52247A0F"/>
    <w:rsid w:val="52337DB7"/>
    <w:rsid w:val="52383966"/>
    <w:rsid w:val="52385792"/>
    <w:rsid w:val="523A610D"/>
    <w:rsid w:val="523D42DD"/>
    <w:rsid w:val="523F6AFF"/>
    <w:rsid w:val="52432384"/>
    <w:rsid w:val="524F31BF"/>
    <w:rsid w:val="52514A0D"/>
    <w:rsid w:val="5273265C"/>
    <w:rsid w:val="528506DC"/>
    <w:rsid w:val="52853336"/>
    <w:rsid w:val="52881D50"/>
    <w:rsid w:val="52991222"/>
    <w:rsid w:val="529B3EC4"/>
    <w:rsid w:val="529C7876"/>
    <w:rsid w:val="529F18E6"/>
    <w:rsid w:val="52BB569C"/>
    <w:rsid w:val="52D65176"/>
    <w:rsid w:val="52DB19FD"/>
    <w:rsid w:val="52EE339D"/>
    <w:rsid w:val="530147A3"/>
    <w:rsid w:val="5306292A"/>
    <w:rsid w:val="530822C8"/>
    <w:rsid w:val="53132A5C"/>
    <w:rsid w:val="5314426D"/>
    <w:rsid w:val="53324996"/>
    <w:rsid w:val="533A4153"/>
    <w:rsid w:val="533E1E81"/>
    <w:rsid w:val="53462EAB"/>
    <w:rsid w:val="53560736"/>
    <w:rsid w:val="536F3F83"/>
    <w:rsid w:val="536F7061"/>
    <w:rsid w:val="53703E8D"/>
    <w:rsid w:val="53707DDE"/>
    <w:rsid w:val="537A3091"/>
    <w:rsid w:val="537E0058"/>
    <w:rsid w:val="53950AA6"/>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270E2A"/>
    <w:rsid w:val="54281936"/>
    <w:rsid w:val="543E515D"/>
    <w:rsid w:val="543F413B"/>
    <w:rsid w:val="544B0D54"/>
    <w:rsid w:val="544C2897"/>
    <w:rsid w:val="54591CDE"/>
    <w:rsid w:val="54625354"/>
    <w:rsid w:val="54637DFF"/>
    <w:rsid w:val="54984A43"/>
    <w:rsid w:val="54AE27FD"/>
    <w:rsid w:val="54C449A1"/>
    <w:rsid w:val="54C557E7"/>
    <w:rsid w:val="54C65EC0"/>
    <w:rsid w:val="54D06235"/>
    <w:rsid w:val="54D43100"/>
    <w:rsid w:val="54F87B39"/>
    <w:rsid w:val="55187800"/>
    <w:rsid w:val="551A610F"/>
    <w:rsid w:val="552557D6"/>
    <w:rsid w:val="552760F6"/>
    <w:rsid w:val="552A09F4"/>
    <w:rsid w:val="552D2D4B"/>
    <w:rsid w:val="5532296D"/>
    <w:rsid w:val="55372936"/>
    <w:rsid w:val="553C3366"/>
    <w:rsid w:val="55465E74"/>
    <w:rsid w:val="55472CA4"/>
    <w:rsid w:val="555154EE"/>
    <w:rsid w:val="5556068C"/>
    <w:rsid w:val="558F4A1E"/>
    <w:rsid w:val="55942252"/>
    <w:rsid w:val="55987FBD"/>
    <w:rsid w:val="559A4E37"/>
    <w:rsid w:val="55B41C64"/>
    <w:rsid w:val="55EC2897"/>
    <w:rsid w:val="55FA242D"/>
    <w:rsid w:val="560378AC"/>
    <w:rsid w:val="56073E8B"/>
    <w:rsid w:val="5624057A"/>
    <w:rsid w:val="5630640C"/>
    <w:rsid w:val="5652120D"/>
    <w:rsid w:val="5652511E"/>
    <w:rsid w:val="56543A0D"/>
    <w:rsid w:val="566B50BC"/>
    <w:rsid w:val="56743063"/>
    <w:rsid w:val="569E1AC8"/>
    <w:rsid w:val="56A4132F"/>
    <w:rsid w:val="56A81C8B"/>
    <w:rsid w:val="56AC279F"/>
    <w:rsid w:val="56AF2E6F"/>
    <w:rsid w:val="56B4565D"/>
    <w:rsid w:val="56BB7AC5"/>
    <w:rsid w:val="56CB5788"/>
    <w:rsid w:val="56D952A8"/>
    <w:rsid w:val="56DB3D0C"/>
    <w:rsid w:val="56DC160C"/>
    <w:rsid w:val="56DF0963"/>
    <w:rsid w:val="56E2575C"/>
    <w:rsid w:val="56F37D3E"/>
    <w:rsid w:val="56F473C0"/>
    <w:rsid w:val="56FD3D8C"/>
    <w:rsid w:val="57065F83"/>
    <w:rsid w:val="57090CD1"/>
    <w:rsid w:val="57097BE4"/>
    <w:rsid w:val="570B6550"/>
    <w:rsid w:val="57196157"/>
    <w:rsid w:val="571B2939"/>
    <w:rsid w:val="57245405"/>
    <w:rsid w:val="573E554E"/>
    <w:rsid w:val="57484C26"/>
    <w:rsid w:val="5758628A"/>
    <w:rsid w:val="575A0C81"/>
    <w:rsid w:val="57617889"/>
    <w:rsid w:val="57713185"/>
    <w:rsid w:val="57745BB6"/>
    <w:rsid w:val="57855787"/>
    <w:rsid w:val="578A1BF3"/>
    <w:rsid w:val="57925A39"/>
    <w:rsid w:val="57A77F5C"/>
    <w:rsid w:val="57B02739"/>
    <w:rsid w:val="57B53ED9"/>
    <w:rsid w:val="57BD6C04"/>
    <w:rsid w:val="57C51573"/>
    <w:rsid w:val="57D6036B"/>
    <w:rsid w:val="57DE28CC"/>
    <w:rsid w:val="57FF606E"/>
    <w:rsid w:val="580716CC"/>
    <w:rsid w:val="58076362"/>
    <w:rsid w:val="58106307"/>
    <w:rsid w:val="58220A26"/>
    <w:rsid w:val="58381DBD"/>
    <w:rsid w:val="58394C38"/>
    <w:rsid w:val="58423CCA"/>
    <w:rsid w:val="584921F7"/>
    <w:rsid w:val="584B7C06"/>
    <w:rsid w:val="58510290"/>
    <w:rsid w:val="58553705"/>
    <w:rsid w:val="5855370B"/>
    <w:rsid w:val="58590F71"/>
    <w:rsid w:val="58695A9C"/>
    <w:rsid w:val="58774DB2"/>
    <w:rsid w:val="58B31DD9"/>
    <w:rsid w:val="58B91125"/>
    <w:rsid w:val="58C64CF3"/>
    <w:rsid w:val="58CB3B78"/>
    <w:rsid w:val="58D21B64"/>
    <w:rsid w:val="58E1168D"/>
    <w:rsid w:val="58EE2472"/>
    <w:rsid w:val="58F22C4C"/>
    <w:rsid w:val="58FD4709"/>
    <w:rsid w:val="590D2328"/>
    <w:rsid w:val="590F51DD"/>
    <w:rsid w:val="59122A32"/>
    <w:rsid w:val="59232C0B"/>
    <w:rsid w:val="593A62F9"/>
    <w:rsid w:val="594D06B7"/>
    <w:rsid w:val="5952037F"/>
    <w:rsid w:val="59561B11"/>
    <w:rsid w:val="59600D8B"/>
    <w:rsid w:val="598D03EC"/>
    <w:rsid w:val="598D7696"/>
    <w:rsid w:val="59970566"/>
    <w:rsid w:val="59993E04"/>
    <w:rsid w:val="599C0038"/>
    <w:rsid w:val="599C7113"/>
    <w:rsid w:val="59C35A05"/>
    <w:rsid w:val="59C43D4D"/>
    <w:rsid w:val="59C51FD2"/>
    <w:rsid w:val="59C83A39"/>
    <w:rsid w:val="59FA4F2E"/>
    <w:rsid w:val="59FB18DA"/>
    <w:rsid w:val="5A0554BD"/>
    <w:rsid w:val="5A1E308F"/>
    <w:rsid w:val="5A261DCD"/>
    <w:rsid w:val="5A361544"/>
    <w:rsid w:val="5A3F108A"/>
    <w:rsid w:val="5A420BA5"/>
    <w:rsid w:val="5A463D28"/>
    <w:rsid w:val="5A587CD5"/>
    <w:rsid w:val="5A5B363C"/>
    <w:rsid w:val="5A5C45C2"/>
    <w:rsid w:val="5A680CD4"/>
    <w:rsid w:val="5A6B5717"/>
    <w:rsid w:val="5A6D76C0"/>
    <w:rsid w:val="5A723A0D"/>
    <w:rsid w:val="5A762255"/>
    <w:rsid w:val="5A833B0D"/>
    <w:rsid w:val="5A9D621A"/>
    <w:rsid w:val="5AB17106"/>
    <w:rsid w:val="5AC219D6"/>
    <w:rsid w:val="5AC36F56"/>
    <w:rsid w:val="5ACF2987"/>
    <w:rsid w:val="5ACF40CD"/>
    <w:rsid w:val="5ACF53EE"/>
    <w:rsid w:val="5AD03C8C"/>
    <w:rsid w:val="5AE91F64"/>
    <w:rsid w:val="5AEA4836"/>
    <w:rsid w:val="5AFD3B96"/>
    <w:rsid w:val="5B0C640C"/>
    <w:rsid w:val="5B2D305D"/>
    <w:rsid w:val="5B443E9C"/>
    <w:rsid w:val="5B4F1FDC"/>
    <w:rsid w:val="5B707739"/>
    <w:rsid w:val="5B956906"/>
    <w:rsid w:val="5BA657F5"/>
    <w:rsid w:val="5BC24519"/>
    <w:rsid w:val="5BC92512"/>
    <w:rsid w:val="5BCA5D03"/>
    <w:rsid w:val="5BCE4EA4"/>
    <w:rsid w:val="5BD209C4"/>
    <w:rsid w:val="5BD57CB7"/>
    <w:rsid w:val="5BD637EC"/>
    <w:rsid w:val="5BDE5A43"/>
    <w:rsid w:val="5BE0323A"/>
    <w:rsid w:val="5BE770AE"/>
    <w:rsid w:val="5C1B7F5F"/>
    <w:rsid w:val="5C34166A"/>
    <w:rsid w:val="5C42366F"/>
    <w:rsid w:val="5C4A36B7"/>
    <w:rsid w:val="5C4E44D4"/>
    <w:rsid w:val="5C4F66E0"/>
    <w:rsid w:val="5C5552A6"/>
    <w:rsid w:val="5C7F0150"/>
    <w:rsid w:val="5C944872"/>
    <w:rsid w:val="5CD7479C"/>
    <w:rsid w:val="5CE536CF"/>
    <w:rsid w:val="5CE568F8"/>
    <w:rsid w:val="5CF33064"/>
    <w:rsid w:val="5D055E2A"/>
    <w:rsid w:val="5D0576C4"/>
    <w:rsid w:val="5D1715C8"/>
    <w:rsid w:val="5D230368"/>
    <w:rsid w:val="5D255730"/>
    <w:rsid w:val="5D3D4EE6"/>
    <w:rsid w:val="5D43549E"/>
    <w:rsid w:val="5D5667E0"/>
    <w:rsid w:val="5D580881"/>
    <w:rsid w:val="5D6261CB"/>
    <w:rsid w:val="5D633394"/>
    <w:rsid w:val="5D9C7622"/>
    <w:rsid w:val="5D9D64F0"/>
    <w:rsid w:val="5DA13534"/>
    <w:rsid w:val="5DBD2E94"/>
    <w:rsid w:val="5DCB56EC"/>
    <w:rsid w:val="5DD3703F"/>
    <w:rsid w:val="5DDB6067"/>
    <w:rsid w:val="5DE448D2"/>
    <w:rsid w:val="5DE62F1A"/>
    <w:rsid w:val="5DF441FF"/>
    <w:rsid w:val="5E001B61"/>
    <w:rsid w:val="5E1463C6"/>
    <w:rsid w:val="5E153A69"/>
    <w:rsid w:val="5E285722"/>
    <w:rsid w:val="5E3B4D31"/>
    <w:rsid w:val="5E3E65D1"/>
    <w:rsid w:val="5E4B7A1D"/>
    <w:rsid w:val="5E50050F"/>
    <w:rsid w:val="5E5D04EF"/>
    <w:rsid w:val="5E68591D"/>
    <w:rsid w:val="5E731D18"/>
    <w:rsid w:val="5E742249"/>
    <w:rsid w:val="5E754D87"/>
    <w:rsid w:val="5E9E597C"/>
    <w:rsid w:val="5EA15379"/>
    <w:rsid w:val="5EA97C8F"/>
    <w:rsid w:val="5EAD0156"/>
    <w:rsid w:val="5EC16D37"/>
    <w:rsid w:val="5ECA3DF8"/>
    <w:rsid w:val="5ECE195E"/>
    <w:rsid w:val="5ED22BFF"/>
    <w:rsid w:val="5EDB5D3F"/>
    <w:rsid w:val="5EDD34B2"/>
    <w:rsid w:val="5EED3932"/>
    <w:rsid w:val="5F0936DE"/>
    <w:rsid w:val="5F107184"/>
    <w:rsid w:val="5F132B6E"/>
    <w:rsid w:val="5F165565"/>
    <w:rsid w:val="5F171517"/>
    <w:rsid w:val="5F190554"/>
    <w:rsid w:val="5F401ED1"/>
    <w:rsid w:val="5F621191"/>
    <w:rsid w:val="5F62295E"/>
    <w:rsid w:val="5F700C2B"/>
    <w:rsid w:val="5F721C1C"/>
    <w:rsid w:val="5F7D16C2"/>
    <w:rsid w:val="5F892553"/>
    <w:rsid w:val="5FAB77AE"/>
    <w:rsid w:val="5FB301BB"/>
    <w:rsid w:val="5FBE3DAA"/>
    <w:rsid w:val="5FCF7A4A"/>
    <w:rsid w:val="5FED10F1"/>
    <w:rsid w:val="600A2C1F"/>
    <w:rsid w:val="600A6271"/>
    <w:rsid w:val="602D3D16"/>
    <w:rsid w:val="60357E4D"/>
    <w:rsid w:val="60417832"/>
    <w:rsid w:val="60443CFE"/>
    <w:rsid w:val="6046706E"/>
    <w:rsid w:val="60492B3E"/>
    <w:rsid w:val="60565E64"/>
    <w:rsid w:val="60617E4E"/>
    <w:rsid w:val="6089047C"/>
    <w:rsid w:val="608D4CE3"/>
    <w:rsid w:val="60A859A2"/>
    <w:rsid w:val="60AB29AA"/>
    <w:rsid w:val="60AC67BD"/>
    <w:rsid w:val="60C06489"/>
    <w:rsid w:val="60CE2A0E"/>
    <w:rsid w:val="60D80CEE"/>
    <w:rsid w:val="60E045DF"/>
    <w:rsid w:val="611159D0"/>
    <w:rsid w:val="611D5644"/>
    <w:rsid w:val="61204933"/>
    <w:rsid w:val="612354B4"/>
    <w:rsid w:val="61351A56"/>
    <w:rsid w:val="61385890"/>
    <w:rsid w:val="613E3F16"/>
    <w:rsid w:val="613F62A8"/>
    <w:rsid w:val="61415F87"/>
    <w:rsid w:val="614A51BA"/>
    <w:rsid w:val="615A223E"/>
    <w:rsid w:val="615B47A6"/>
    <w:rsid w:val="615E224C"/>
    <w:rsid w:val="615F5027"/>
    <w:rsid w:val="616435A6"/>
    <w:rsid w:val="61765A6E"/>
    <w:rsid w:val="61942A20"/>
    <w:rsid w:val="619940E6"/>
    <w:rsid w:val="61A6014E"/>
    <w:rsid w:val="61A85B43"/>
    <w:rsid w:val="61D63921"/>
    <w:rsid w:val="61DB724C"/>
    <w:rsid w:val="61E01520"/>
    <w:rsid w:val="61F439C5"/>
    <w:rsid w:val="61F443E9"/>
    <w:rsid w:val="61F61B0C"/>
    <w:rsid w:val="61F84262"/>
    <w:rsid w:val="62213533"/>
    <w:rsid w:val="62270D05"/>
    <w:rsid w:val="62282D1D"/>
    <w:rsid w:val="623F2BBF"/>
    <w:rsid w:val="62461BF2"/>
    <w:rsid w:val="624D1061"/>
    <w:rsid w:val="62607426"/>
    <w:rsid w:val="62867444"/>
    <w:rsid w:val="628B741B"/>
    <w:rsid w:val="629810C3"/>
    <w:rsid w:val="629D7EE8"/>
    <w:rsid w:val="62BC107A"/>
    <w:rsid w:val="62C73A65"/>
    <w:rsid w:val="62D50998"/>
    <w:rsid w:val="62E7507D"/>
    <w:rsid w:val="62F67597"/>
    <w:rsid w:val="63026180"/>
    <w:rsid w:val="63056D1B"/>
    <w:rsid w:val="630C34D0"/>
    <w:rsid w:val="631E48B7"/>
    <w:rsid w:val="6322080B"/>
    <w:rsid w:val="632921B9"/>
    <w:rsid w:val="632E6C44"/>
    <w:rsid w:val="63351E52"/>
    <w:rsid w:val="633B5CA5"/>
    <w:rsid w:val="633F4960"/>
    <w:rsid w:val="635F6BBD"/>
    <w:rsid w:val="637473B8"/>
    <w:rsid w:val="6388340F"/>
    <w:rsid w:val="638C5281"/>
    <w:rsid w:val="638F7AFC"/>
    <w:rsid w:val="639215D8"/>
    <w:rsid w:val="63A14DDA"/>
    <w:rsid w:val="63A36BE5"/>
    <w:rsid w:val="63C04B8A"/>
    <w:rsid w:val="63D42229"/>
    <w:rsid w:val="63D63C65"/>
    <w:rsid w:val="63D8474D"/>
    <w:rsid w:val="63DB746A"/>
    <w:rsid w:val="63E5033D"/>
    <w:rsid w:val="63EE162B"/>
    <w:rsid w:val="63F75B8A"/>
    <w:rsid w:val="640310C7"/>
    <w:rsid w:val="640F0C5E"/>
    <w:rsid w:val="64155C8D"/>
    <w:rsid w:val="641B0760"/>
    <w:rsid w:val="641D74E0"/>
    <w:rsid w:val="641E1DE4"/>
    <w:rsid w:val="64203CB4"/>
    <w:rsid w:val="64222857"/>
    <w:rsid w:val="642E206A"/>
    <w:rsid w:val="64335EB1"/>
    <w:rsid w:val="643519B3"/>
    <w:rsid w:val="64430D0B"/>
    <w:rsid w:val="64433CD0"/>
    <w:rsid w:val="64495F72"/>
    <w:rsid w:val="644B25BC"/>
    <w:rsid w:val="64570B28"/>
    <w:rsid w:val="64580D33"/>
    <w:rsid w:val="646754AC"/>
    <w:rsid w:val="646856C7"/>
    <w:rsid w:val="647F6D16"/>
    <w:rsid w:val="64844824"/>
    <w:rsid w:val="64976216"/>
    <w:rsid w:val="6498217B"/>
    <w:rsid w:val="64987FF4"/>
    <w:rsid w:val="64A23830"/>
    <w:rsid w:val="64A473F3"/>
    <w:rsid w:val="64CA7CEA"/>
    <w:rsid w:val="64CC2606"/>
    <w:rsid w:val="64D0513C"/>
    <w:rsid w:val="64DD3E8A"/>
    <w:rsid w:val="64EB1866"/>
    <w:rsid w:val="64F702F2"/>
    <w:rsid w:val="651424EE"/>
    <w:rsid w:val="651F2C77"/>
    <w:rsid w:val="65210062"/>
    <w:rsid w:val="65257BC1"/>
    <w:rsid w:val="65287A29"/>
    <w:rsid w:val="65297D03"/>
    <w:rsid w:val="653A2B4E"/>
    <w:rsid w:val="653D5C48"/>
    <w:rsid w:val="65537EF9"/>
    <w:rsid w:val="655E1155"/>
    <w:rsid w:val="655F4773"/>
    <w:rsid w:val="65636455"/>
    <w:rsid w:val="657962B9"/>
    <w:rsid w:val="658A6AA3"/>
    <w:rsid w:val="658C5741"/>
    <w:rsid w:val="659E7432"/>
    <w:rsid w:val="65A240BE"/>
    <w:rsid w:val="65A273A9"/>
    <w:rsid w:val="65A924D2"/>
    <w:rsid w:val="65AE5114"/>
    <w:rsid w:val="65AF508F"/>
    <w:rsid w:val="65B61DD9"/>
    <w:rsid w:val="65B66656"/>
    <w:rsid w:val="65BB5075"/>
    <w:rsid w:val="65C0580D"/>
    <w:rsid w:val="65C76D0B"/>
    <w:rsid w:val="65CB5A52"/>
    <w:rsid w:val="65D23BC4"/>
    <w:rsid w:val="65DB59F5"/>
    <w:rsid w:val="65FE41D7"/>
    <w:rsid w:val="66002819"/>
    <w:rsid w:val="660A3036"/>
    <w:rsid w:val="66195DC1"/>
    <w:rsid w:val="661F753F"/>
    <w:rsid w:val="662861DC"/>
    <w:rsid w:val="66286B79"/>
    <w:rsid w:val="66306F43"/>
    <w:rsid w:val="66326E97"/>
    <w:rsid w:val="663933C4"/>
    <w:rsid w:val="663F4723"/>
    <w:rsid w:val="664615E7"/>
    <w:rsid w:val="66513470"/>
    <w:rsid w:val="665265F4"/>
    <w:rsid w:val="66634353"/>
    <w:rsid w:val="66943E18"/>
    <w:rsid w:val="6699652A"/>
    <w:rsid w:val="66A93110"/>
    <w:rsid w:val="66AC664F"/>
    <w:rsid w:val="66AF2B2C"/>
    <w:rsid w:val="66B372BF"/>
    <w:rsid w:val="66B41A4A"/>
    <w:rsid w:val="66C2220F"/>
    <w:rsid w:val="66DB2A60"/>
    <w:rsid w:val="66E60F27"/>
    <w:rsid w:val="66EC68BC"/>
    <w:rsid w:val="66F0190D"/>
    <w:rsid w:val="66FE4406"/>
    <w:rsid w:val="67064E16"/>
    <w:rsid w:val="670B0EC0"/>
    <w:rsid w:val="670F0B32"/>
    <w:rsid w:val="671723BE"/>
    <w:rsid w:val="671B479E"/>
    <w:rsid w:val="672833FF"/>
    <w:rsid w:val="67447CAA"/>
    <w:rsid w:val="67603184"/>
    <w:rsid w:val="676569B0"/>
    <w:rsid w:val="676E53AF"/>
    <w:rsid w:val="67703441"/>
    <w:rsid w:val="6772565E"/>
    <w:rsid w:val="67830DB6"/>
    <w:rsid w:val="678F5EF4"/>
    <w:rsid w:val="67985D75"/>
    <w:rsid w:val="679C72E6"/>
    <w:rsid w:val="679D7D9D"/>
    <w:rsid w:val="67A16316"/>
    <w:rsid w:val="67A42616"/>
    <w:rsid w:val="67AA7DA2"/>
    <w:rsid w:val="67B52945"/>
    <w:rsid w:val="67B84A87"/>
    <w:rsid w:val="67D5396B"/>
    <w:rsid w:val="67DE14F6"/>
    <w:rsid w:val="67E24A58"/>
    <w:rsid w:val="67E76177"/>
    <w:rsid w:val="67E967D4"/>
    <w:rsid w:val="67EA1DE2"/>
    <w:rsid w:val="67F51F5D"/>
    <w:rsid w:val="680C4DB4"/>
    <w:rsid w:val="681C0F9C"/>
    <w:rsid w:val="68280A59"/>
    <w:rsid w:val="685448E5"/>
    <w:rsid w:val="68567ADB"/>
    <w:rsid w:val="685A52F7"/>
    <w:rsid w:val="686007CB"/>
    <w:rsid w:val="686301D2"/>
    <w:rsid w:val="686F32ED"/>
    <w:rsid w:val="68763CFB"/>
    <w:rsid w:val="68775B46"/>
    <w:rsid w:val="689E6C51"/>
    <w:rsid w:val="68AB1911"/>
    <w:rsid w:val="68AC7864"/>
    <w:rsid w:val="68BD141F"/>
    <w:rsid w:val="68C2312F"/>
    <w:rsid w:val="68CC74D0"/>
    <w:rsid w:val="68CD117F"/>
    <w:rsid w:val="68D046DE"/>
    <w:rsid w:val="68DD058C"/>
    <w:rsid w:val="68E84B74"/>
    <w:rsid w:val="690300E6"/>
    <w:rsid w:val="691F004A"/>
    <w:rsid w:val="692563EE"/>
    <w:rsid w:val="692D6BB4"/>
    <w:rsid w:val="693530BC"/>
    <w:rsid w:val="69456602"/>
    <w:rsid w:val="69521102"/>
    <w:rsid w:val="69593A40"/>
    <w:rsid w:val="69624FCF"/>
    <w:rsid w:val="6965727E"/>
    <w:rsid w:val="69781FA1"/>
    <w:rsid w:val="69785369"/>
    <w:rsid w:val="697B19FC"/>
    <w:rsid w:val="69983D4A"/>
    <w:rsid w:val="69AB32EC"/>
    <w:rsid w:val="69C0232F"/>
    <w:rsid w:val="69C62E9A"/>
    <w:rsid w:val="69D064D5"/>
    <w:rsid w:val="69D9569F"/>
    <w:rsid w:val="69EE4AD9"/>
    <w:rsid w:val="69F076EC"/>
    <w:rsid w:val="69FB056C"/>
    <w:rsid w:val="6A0033E0"/>
    <w:rsid w:val="6A0C4C59"/>
    <w:rsid w:val="6A0C7811"/>
    <w:rsid w:val="6A0D3432"/>
    <w:rsid w:val="6A0E77F1"/>
    <w:rsid w:val="6A2E7184"/>
    <w:rsid w:val="6A3001E9"/>
    <w:rsid w:val="6A5320C5"/>
    <w:rsid w:val="6A55161C"/>
    <w:rsid w:val="6A65568E"/>
    <w:rsid w:val="6A8213EE"/>
    <w:rsid w:val="6A84734E"/>
    <w:rsid w:val="6A9553FE"/>
    <w:rsid w:val="6A984F72"/>
    <w:rsid w:val="6AB64522"/>
    <w:rsid w:val="6ABF796A"/>
    <w:rsid w:val="6AC13145"/>
    <w:rsid w:val="6AC30E38"/>
    <w:rsid w:val="6ADB66AC"/>
    <w:rsid w:val="6ADD74FD"/>
    <w:rsid w:val="6ADF7409"/>
    <w:rsid w:val="6AE127F5"/>
    <w:rsid w:val="6AE20869"/>
    <w:rsid w:val="6AE3471E"/>
    <w:rsid w:val="6AEA62D3"/>
    <w:rsid w:val="6AEE0C73"/>
    <w:rsid w:val="6AF117EA"/>
    <w:rsid w:val="6B1A4247"/>
    <w:rsid w:val="6B244B56"/>
    <w:rsid w:val="6B275ADB"/>
    <w:rsid w:val="6B3816B9"/>
    <w:rsid w:val="6B570F9E"/>
    <w:rsid w:val="6B704D44"/>
    <w:rsid w:val="6B7A4A17"/>
    <w:rsid w:val="6B7F1BF6"/>
    <w:rsid w:val="6B8F6404"/>
    <w:rsid w:val="6B9512FD"/>
    <w:rsid w:val="6BB554FE"/>
    <w:rsid w:val="6BB87BB7"/>
    <w:rsid w:val="6BC12EDC"/>
    <w:rsid w:val="6BC71DE1"/>
    <w:rsid w:val="6BD55A96"/>
    <w:rsid w:val="6BE02D0B"/>
    <w:rsid w:val="6BE255D8"/>
    <w:rsid w:val="6BE76A97"/>
    <w:rsid w:val="6BF056A3"/>
    <w:rsid w:val="6BF11FF8"/>
    <w:rsid w:val="6BF43FAF"/>
    <w:rsid w:val="6BFB78C8"/>
    <w:rsid w:val="6BFE61C2"/>
    <w:rsid w:val="6BFF40AF"/>
    <w:rsid w:val="6C0309D8"/>
    <w:rsid w:val="6C1363EA"/>
    <w:rsid w:val="6C1D4D6E"/>
    <w:rsid w:val="6C1F175D"/>
    <w:rsid w:val="6C3E480C"/>
    <w:rsid w:val="6C3F65A7"/>
    <w:rsid w:val="6C4A348A"/>
    <w:rsid w:val="6C4A4478"/>
    <w:rsid w:val="6C5002D5"/>
    <w:rsid w:val="6C762E7E"/>
    <w:rsid w:val="6C777224"/>
    <w:rsid w:val="6C83219C"/>
    <w:rsid w:val="6C833B41"/>
    <w:rsid w:val="6C9803A4"/>
    <w:rsid w:val="6CC839C0"/>
    <w:rsid w:val="6CC92C88"/>
    <w:rsid w:val="6CD323B8"/>
    <w:rsid w:val="6CF33107"/>
    <w:rsid w:val="6CF90658"/>
    <w:rsid w:val="6CFC0D94"/>
    <w:rsid w:val="6D147885"/>
    <w:rsid w:val="6D23681A"/>
    <w:rsid w:val="6D243939"/>
    <w:rsid w:val="6D3125B4"/>
    <w:rsid w:val="6D403BCC"/>
    <w:rsid w:val="6D447778"/>
    <w:rsid w:val="6D4A5F2F"/>
    <w:rsid w:val="6D527212"/>
    <w:rsid w:val="6D565D6F"/>
    <w:rsid w:val="6D587140"/>
    <w:rsid w:val="6D620170"/>
    <w:rsid w:val="6D621B82"/>
    <w:rsid w:val="6D777E6B"/>
    <w:rsid w:val="6D84645E"/>
    <w:rsid w:val="6D8807AB"/>
    <w:rsid w:val="6D8F437E"/>
    <w:rsid w:val="6D990245"/>
    <w:rsid w:val="6D997573"/>
    <w:rsid w:val="6DA026C8"/>
    <w:rsid w:val="6DA46B38"/>
    <w:rsid w:val="6DB46943"/>
    <w:rsid w:val="6DC62455"/>
    <w:rsid w:val="6DF1016C"/>
    <w:rsid w:val="6DF8337A"/>
    <w:rsid w:val="6E035FBA"/>
    <w:rsid w:val="6E085A4D"/>
    <w:rsid w:val="6E0F58E1"/>
    <w:rsid w:val="6E12020E"/>
    <w:rsid w:val="6E123F60"/>
    <w:rsid w:val="6E130BF0"/>
    <w:rsid w:val="6E4413FF"/>
    <w:rsid w:val="6E4D7D3F"/>
    <w:rsid w:val="6E5231A4"/>
    <w:rsid w:val="6E5A40EE"/>
    <w:rsid w:val="6E671D27"/>
    <w:rsid w:val="6E686BA4"/>
    <w:rsid w:val="6E7D48F4"/>
    <w:rsid w:val="6E906409"/>
    <w:rsid w:val="6E9666FC"/>
    <w:rsid w:val="6E9C16AF"/>
    <w:rsid w:val="6E9D390D"/>
    <w:rsid w:val="6EA1250E"/>
    <w:rsid w:val="6EAC044E"/>
    <w:rsid w:val="6EB70BFC"/>
    <w:rsid w:val="6EBC6825"/>
    <w:rsid w:val="6ECF1E42"/>
    <w:rsid w:val="6EE10B05"/>
    <w:rsid w:val="6EFF1A27"/>
    <w:rsid w:val="6F012EA9"/>
    <w:rsid w:val="6F0472BB"/>
    <w:rsid w:val="6F18644A"/>
    <w:rsid w:val="6F206808"/>
    <w:rsid w:val="6F2C4671"/>
    <w:rsid w:val="6F537CC8"/>
    <w:rsid w:val="6F5632B7"/>
    <w:rsid w:val="6F5B3B07"/>
    <w:rsid w:val="6F6000F3"/>
    <w:rsid w:val="6F734DE5"/>
    <w:rsid w:val="6F7A7501"/>
    <w:rsid w:val="6F7C0176"/>
    <w:rsid w:val="6F7D152E"/>
    <w:rsid w:val="6FAB7D95"/>
    <w:rsid w:val="6FAD23B4"/>
    <w:rsid w:val="6FAD5E72"/>
    <w:rsid w:val="6FBD7D61"/>
    <w:rsid w:val="6FC42EAB"/>
    <w:rsid w:val="6FD101F3"/>
    <w:rsid w:val="6FDA4BFC"/>
    <w:rsid w:val="6FE54985"/>
    <w:rsid w:val="6FEC7554"/>
    <w:rsid w:val="6FF1283A"/>
    <w:rsid w:val="700B23E9"/>
    <w:rsid w:val="70196ECC"/>
    <w:rsid w:val="704D7FCB"/>
    <w:rsid w:val="704E12D0"/>
    <w:rsid w:val="70563262"/>
    <w:rsid w:val="705873A3"/>
    <w:rsid w:val="707B1DA1"/>
    <w:rsid w:val="709910D5"/>
    <w:rsid w:val="70A84E00"/>
    <w:rsid w:val="70B64B15"/>
    <w:rsid w:val="70CE37DC"/>
    <w:rsid w:val="70D216D3"/>
    <w:rsid w:val="70D958BC"/>
    <w:rsid w:val="70DD65D9"/>
    <w:rsid w:val="70F02592"/>
    <w:rsid w:val="70F83CE8"/>
    <w:rsid w:val="71534AAE"/>
    <w:rsid w:val="716C54B9"/>
    <w:rsid w:val="717A16B9"/>
    <w:rsid w:val="717A7739"/>
    <w:rsid w:val="717C638C"/>
    <w:rsid w:val="718C2ED6"/>
    <w:rsid w:val="719B216D"/>
    <w:rsid w:val="71AE56D4"/>
    <w:rsid w:val="71B047FB"/>
    <w:rsid w:val="71B752EE"/>
    <w:rsid w:val="71C66F16"/>
    <w:rsid w:val="71DB12A7"/>
    <w:rsid w:val="71E619D1"/>
    <w:rsid w:val="72076DCF"/>
    <w:rsid w:val="720C0228"/>
    <w:rsid w:val="72106F1F"/>
    <w:rsid w:val="722B3FA0"/>
    <w:rsid w:val="722D2A5F"/>
    <w:rsid w:val="722D57C7"/>
    <w:rsid w:val="723B3782"/>
    <w:rsid w:val="724062B5"/>
    <w:rsid w:val="72491CAB"/>
    <w:rsid w:val="724A0704"/>
    <w:rsid w:val="724C22FA"/>
    <w:rsid w:val="724F46F0"/>
    <w:rsid w:val="7255143F"/>
    <w:rsid w:val="726436E6"/>
    <w:rsid w:val="72700C83"/>
    <w:rsid w:val="727E6483"/>
    <w:rsid w:val="728124EA"/>
    <w:rsid w:val="728453D5"/>
    <w:rsid w:val="728B087B"/>
    <w:rsid w:val="72935827"/>
    <w:rsid w:val="729B79DD"/>
    <w:rsid w:val="72A14F9D"/>
    <w:rsid w:val="72AA36AE"/>
    <w:rsid w:val="72BB1BA7"/>
    <w:rsid w:val="72D051AC"/>
    <w:rsid w:val="72D05F60"/>
    <w:rsid w:val="72ED426C"/>
    <w:rsid w:val="72F16021"/>
    <w:rsid w:val="72F91A90"/>
    <w:rsid w:val="731C314C"/>
    <w:rsid w:val="73221787"/>
    <w:rsid w:val="732927A3"/>
    <w:rsid w:val="733527D5"/>
    <w:rsid w:val="734333B2"/>
    <w:rsid w:val="73826B32"/>
    <w:rsid w:val="73A34F4F"/>
    <w:rsid w:val="73B02110"/>
    <w:rsid w:val="73C70602"/>
    <w:rsid w:val="73CB40BF"/>
    <w:rsid w:val="73CE0E30"/>
    <w:rsid w:val="73CE218C"/>
    <w:rsid w:val="73E133AB"/>
    <w:rsid w:val="73F95D4E"/>
    <w:rsid w:val="74044161"/>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7D4D81"/>
    <w:rsid w:val="747E2170"/>
    <w:rsid w:val="74852FD5"/>
    <w:rsid w:val="74873133"/>
    <w:rsid w:val="74951F55"/>
    <w:rsid w:val="74994FF2"/>
    <w:rsid w:val="74A33469"/>
    <w:rsid w:val="74A93ADB"/>
    <w:rsid w:val="74AB764B"/>
    <w:rsid w:val="74B54B4A"/>
    <w:rsid w:val="74B83DBC"/>
    <w:rsid w:val="74BA0C6B"/>
    <w:rsid w:val="74BB501E"/>
    <w:rsid w:val="74C62534"/>
    <w:rsid w:val="74EE31EA"/>
    <w:rsid w:val="74F227D5"/>
    <w:rsid w:val="74F479DA"/>
    <w:rsid w:val="74FA2880"/>
    <w:rsid w:val="750E421E"/>
    <w:rsid w:val="75100B8F"/>
    <w:rsid w:val="75180EA9"/>
    <w:rsid w:val="75225CBF"/>
    <w:rsid w:val="75350693"/>
    <w:rsid w:val="75372EB1"/>
    <w:rsid w:val="75460C0C"/>
    <w:rsid w:val="7546677D"/>
    <w:rsid w:val="754B2AC0"/>
    <w:rsid w:val="754D466C"/>
    <w:rsid w:val="754F4CC4"/>
    <w:rsid w:val="756E0B0A"/>
    <w:rsid w:val="756E1FF6"/>
    <w:rsid w:val="757031D9"/>
    <w:rsid w:val="758075D4"/>
    <w:rsid w:val="75814167"/>
    <w:rsid w:val="75842DFC"/>
    <w:rsid w:val="75844CB2"/>
    <w:rsid w:val="75907C96"/>
    <w:rsid w:val="75A667A1"/>
    <w:rsid w:val="75B545AA"/>
    <w:rsid w:val="75B9416A"/>
    <w:rsid w:val="75BE0722"/>
    <w:rsid w:val="75C247F2"/>
    <w:rsid w:val="75CB7223"/>
    <w:rsid w:val="75CD7BB5"/>
    <w:rsid w:val="75D83866"/>
    <w:rsid w:val="75DB5451"/>
    <w:rsid w:val="75E37678"/>
    <w:rsid w:val="75E9665D"/>
    <w:rsid w:val="75F87197"/>
    <w:rsid w:val="76015597"/>
    <w:rsid w:val="760E5F05"/>
    <w:rsid w:val="762E28FD"/>
    <w:rsid w:val="76437D02"/>
    <w:rsid w:val="765120A6"/>
    <w:rsid w:val="765500F3"/>
    <w:rsid w:val="76634AEC"/>
    <w:rsid w:val="76724739"/>
    <w:rsid w:val="767F05D4"/>
    <w:rsid w:val="76894CC3"/>
    <w:rsid w:val="76B72ED4"/>
    <w:rsid w:val="76BA05D5"/>
    <w:rsid w:val="76BC3479"/>
    <w:rsid w:val="76BF7D3D"/>
    <w:rsid w:val="76C52AEB"/>
    <w:rsid w:val="76D264D4"/>
    <w:rsid w:val="76D917F6"/>
    <w:rsid w:val="76E955C3"/>
    <w:rsid w:val="76FD43AC"/>
    <w:rsid w:val="770706D4"/>
    <w:rsid w:val="77123ACC"/>
    <w:rsid w:val="77225399"/>
    <w:rsid w:val="77247924"/>
    <w:rsid w:val="772B1B20"/>
    <w:rsid w:val="77510935"/>
    <w:rsid w:val="77634F3B"/>
    <w:rsid w:val="77667A81"/>
    <w:rsid w:val="77693CA4"/>
    <w:rsid w:val="77712302"/>
    <w:rsid w:val="777A6B28"/>
    <w:rsid w:val="77821A9D"/>
    <w:rsid w:val="77910638"/>
    <w:rsid w:val="77BF3850"/>
    <w:rsid w:val="77CE14EF"/>
    <w:rsid w:val="77D36332"/>
    <w:rsid w:val="77D62A56"/>
    <w:rsid w:val="77E02F26"/>
    <w:rsid w:val="77E62733"/>
    <w:rsid w:val="77EA060C"/>
    <w:rsid w:val="77F273D8"/>
    <w:rsid w:val="77F84B71"/>
    <w:rsid w:val="780E1955"/>
    <w:rsid w:val="78293DC3"/>
    <w:rsid w:val="782D2D9B"/>
    <w:rsid w:val="782F143B"/>
    <w:rsid w:val="782F7B31"/>
    <w:rsid w:val="78380568"/>
    <w:rsid w:val="783A6B2F"/>
    <w:rsid w:val="783F4F70"/>
    <w:rsid w:val="785B4C20"/>
    <w:rsid w:val="785D218D"/>
    <w:rsid w:val="78630991"/>
    <w:rsid w:val="78912980"/>
    <w:rsid w:val="789240F1"/>
    <w:rsid w:val="7893195B"/>
    <w:rsid w:val="78965720"/>
    <w:rsid w:val="78AB4E34"/>
    <w:rsid w:val="78B26191"/>
    <w:rsid w:val="78B8567C"/>
    <w:rsid w:val="78D62FC2"/>
    <w:rsid w:val="78E8667F"/>
    <w:rsid w:val="78EF493B"/>
    <w:rsid w:val="78F7615B"/>
    <w:rsid w:val="78FD2962"/>
    <w:rsid w:val="7907155B"/>
    <w:rsid w:val="79113FAC"/>
    <w:rsid w:val="79187B3A"/>
    <w:rsid w:val="792063BD"/>
    <w:rsid w:val="792924D9"/>
    <w:rsid w:val="79307089"/>
    <w:rsid w:val="79373219"/>
    <w:rsid w:val="79432895"/>
    <w:rsid w:val="79450F83"/>
    <w:rsid w:val="794625CC"/>
    <w:rsid w:val="794A4288"/>
    <w:rsid w:val="794C7980"/>
    <w:rsid w:val="7954036F"/>
    <w:rsid w:val="7963139E"/>
    <w:rsid w:val="798B23A6"/>
    <w:rsid w:val="79934622"/>
    <w:rsid w:val="7996486B"/>
    <w:rsid w:val="799C5748"/>
    <w:rsid w:val="79A10018"/>
    <w:rsid w:val="79A86542"/>
    <w:rsid w:val="79AA6729"/>
    <w:rsid w:val="79AF7ABE"/>
    <w:rsid w:val="79BD180A"/>
    <w:rsid w:val="79BE5E62"/>
    <w:rsid w:val="79CD5799"/>
    <w:rsid w:val="79D00261"/>
    <w:rsid w:val="79D72059"/>
    <w:rsid w:val="79D917F7"/>
    <w:rsid w:val="79E92F86"/>
    <w:rsid w:val="79EC33C3"/>
    <w:rsid w:val="79EC4C14"/>
    <w:rsid w:val="7A080CC3"/>
    <w:rsid w:val="7A1C1793"/>
    <w:rsid w:val="7A1C4DC7"/>
    <w:rsid w:val="7A3A078E"/>
    <w:rsid w:val="7A45124E"/>
    <w:rsid w:val="7A4C7BCA"/>
    <w:rsid w:val="7A7F307F"/>
    <w:rsid w:val="7A850292"/>
    <w:rsid w:val="7A864059"/>
    <w:rsid w:val="7A991285"/>
    <w:rsid w:val="7AA26CC1"/>
    <w:rsid w:val="7AA36941"/>
    <w:rsid w:val="7AAC03BC"/>
    <w:rsid w:val="7AB2157C"/>
    <w:rsid w:val="7AB5655C"/>
    <w:rsid w:val="7AC179AB"/>
    <w:rsid w:val="7AC528C4"/>
    <w:rsid w:val="7ACE4545"/>
    <w:rsid w:val="7AD631B4"/>
    <w:rsid w:val="7AE80992"/>
    <w:rsid w:val="7AE9752E"/>
    <w:rsid w:val="7AEC1055"/>
    <w:rsid w:val="7AF51135"/>
    <w:rsid w:val="7AFE078F"/>
    <w:rsid w:val="7B0320BB"/>
    <w:rsid w:val="7B0E4101"/>
    <w:rsid w:val="7B192CA1"/>
    <w:rsid w:val="7B1E43DB"/>
    <w:rsid w:val="7B1E76B6"/>
    <w:rsid w:val="7B3D12FD"/>
    <w:rsid w:val="7B5204F9"/>
    <w:rsid w:val="7B623397"/>
    <w:rsid w:val="7B6E3852"/>
    <w:rsid w:val="7B6E5110"/>
    <w:rsid w:val="7B745405"/>
    <w:rsid w:val="7B746FD3"/>
    <w:rsid w:val="7BC25E02"/>
    <w:rsid w:val="7BC8745E"/>
    <w:rsid w:val="7BCD7043"/>
    <w:rsid w:val="7BDA2B39"/>
    <w:rsid w:val="7BFD2FC3"/>
    <w:rsid w:val="7C222636"/>
    <w:rsid w:val="7C274E7E"/>
    <w:rsid w:val="7C280E42"/>
    <w:rsid w:val="7C2E19A1"/>
    <w:rsid w:val="7C4E2200"/>
    <w:rsid w:val="7C5B0211"/>
    <w:rsid w:val="7C5E225A"/>
    <w:rsid w:val="7C716D5B"/>
    <w:rsid w:val="7C7F4F3C"/>
    <w:rsid w:val="7C9C55B4"/>
    <w:rsid w:val="7CA4190A"/>
    <w:rsid w:val="7CA544A2"/>
    <w:rsid w:val="7CB347D7"/>
    <w:rsid w:val="7CB55428"/>
    <w:rsid w:val="7CCD67D7"/>
    <w:rsid w:val="7CE21673"/>
    <w:rsid w:val="7CE2570E"/>
    <w:rsid w:val="7CE57DCB"/>
    <w:rsid w:val="7CEE13C1"/>
    <w:rsid w:val="7CF45745"/>
    <w:rsid w:val="7CFC5143"/>
    <w:rsid w:val="7D0351A7"/>
    <w:rsid w:val="7D1665FE"/>
    <w:rsid w:val="7D314B29"/>
    <w:rsid w:val="7D341826"/>
    <w:rsid w:val="7D3C4DB4"/>
    <w:rsid w:val="7D4033FD"/>
    <w:rsid w:val="7D453655"/>
    <w:rsid w:val="7D4633F9"/>
    <w:rsid w:val="7D4D5856"/>
    <w:rsid w:val="7D512D27"/>
    <w:rsid w:val="7D537A55"/>
    <w:rsid w:val="7D6B18A4"/>
    <w:rsid w:val="7D6B5F3A"/>
    <w:rsid w:val="7D6F1533"/>
    <w:rsid w:val="7D71105E"/>
    <w:rsid w:val="7D737A9C"/>
    <w:rsid w:val="7D99311C"/>
    <w:rsid w:val="7DA0771C"/>
    <w:rsid w:val="7DAA16F6"/>
    <w:rsid w:val="7DE14EF9"/>
    <w:rsid w:val="7DF16A19"/>
    <w:rsid w:val="7E183EEA"/>
    <w:rsid w:val="7E194EBD"/>
    <w:rsid w:val="7E22507B"/>
    <w:rsid w:val="7E440B2B"/>
    <w:rsid w:val="7E4A22B2"/>
    <w:rsid w:val="7E4D6442"/>
    <w:rsid w:val="7E4E7747"/>
    <w:rsid w:val="7E4F61B6"/>
    <w:rsid w:val="7E664DEE"/>
    <w:rsid w:val="7E6752B6"/>
    <w:rsid w:val="7E717A7B"/>
    <w:rsid w:val="7E80292D"/>
    <w:rsid w:val="7E820E9B"/>
    <w:rsid w:val="7E84382C"/>
    <w:rsid w:val="7E855AE7"/>
    <w:rsid w:val="7E9D718F"/>
    <w:rsid w:val="7EA7411B"/>
    <w:rsid w:val="7EA874D5"/>
    <w:rsid w:val="7EAA0221"/>
    <w:rsid w:val="7EAD2FE4"/>
    <w:rsid w:val="7EAF64E7"/>
    <w:rsid w:val="7EB02A3C"/>
    <w:rsid w:val="7EB714C1"/>
    <w:rsid w:val="7EC915F7"/>
    <w:rsid w:val="7ECA128F"/>
    <w:rsid w:val="7ECE1934"/>
    <w:rsid w:val="7ED326C7"/>
    <w:rsid w:val="7EEE010D"/>
    <w:rsid w:val="7F0A6F2E"/>
    <w:rsid w:val="7F21551C"/>
    <w:rsid w:val="7F251450"/>
    <w:rsid w:val="7F381A47"/>
    <w:rsid w:val="7F3932D6"/>
    <w:rsid w:val="7F3B3199"/>
    <w:rsid w:val="7F3D07F6"/>
    <w:rsid w:val="7F4D23DA"/>
    <w:rsid w:val="7F613C7E"/>
    <w:rsid w:val="7F7D7E39"/>
    <w:rsid w:val="7F805401"/>
    <w:rsid w:val="7F827F3A"/>
    <w:rsid w:val="7F8A5E4A"/>
    <w:rsid w:val="7F912BF1"/>
    <w:rsid w:val="7F921785"/>
    <w:rsid w:val="7F9E1932"/>
    <w:rsid w:val="7FA4150B"/>
    <w:rsid w:val="7FA61A8E"/>
    <w:rsid w:val="7FAB71DB"/>
    <w:rsid w:val="7FCA6AE1"/>
    <w:rsid w:val="7FCC65E5"/>
    <w:rsid w:val="7FED79B9"/>
    <w:rsid w:val="7FF02E2B"/>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2024-10-07T13:19:37Z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